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6E9D" w14:textId="5B24C65C" w:rsidR="00B3063A" w:rsidRPr="00DB410F" w:rsidRDefault="007C6707" w:rsidP="000E2C8C">
      <w:pPr>
        <w:rPr>
          <w:rFonts w:ascii="Calibri" w:hAnsi="Calibri" w:cs="Arial"/>
          <w:b/>
          <w:sz w:val="44"/>
          <w:szCs w:val="36"/>
        </w:rPr>
      </w:pPr>
      <w:r w:rsidRPr="00DB410F">
        <w:rPr>
          <w:rFonts w:ascii="Calibri" w:hAnsi="Calibri" w:cs="Arial"/>
          <w:b/>
          <w:sz w:val="44"/>
          <w:szCs w:val="36"/>
        </w:rPr>
        <w:t>C</w:t>
      </w:r>
      <w:r w:rsidR="001F70FA" w:rsidRPr="00DB410F">
        <w:rPr>
          <w:rFonts w:ascii="Calibri" w:hAnsi="Calibri" w:cs="Arial"/>
          <w:b/>
          <w:sz w:val="44"/>
          <w:szCs w:val="36"/>
        </w:rPr>
        <w:t>anberra Health Services</w:t>
      </w:r>
    </w:p>
    <w:p w14:paraId="58A9699B" w14:textId="48CA9512" w:rsidR="009B3385" w:rsidRPr="00DB410F" w:rsidRDefault="00F81D90" w:rsidP="008B01CA">
      <w:pPr>
        <w:rPr>
          <w:rFonts w:ascii="Calibri" w:hAnsi="Calibri" w:cs="Arial"/>
          <w:b/>
          <w:sz w:val="44"/>
          <w:szCs w:val="36"/>
        </w:rPr>
      </w:pPr>
      <w:r>
        <w:rPr>
          <w:rFonts w:ascii="Calibri" w:hAnsi="Calibri" w:cs="Arial"/>
          <w:b/>
          <w:sz w:val="44"/>
          <w:szCs w:val="36"/>
        </w:rPr>
        <w:t xml:space="preserve">Clinical </w:t>
      </w:r>
      <w:r w:rsidR="001502DF" w:rsidRPr="00DB410F">
        <w:rPr>
          <w:rFonts w:ascii="Calibri" w:hAnsi="Calibri" w:cs="Arial"/>
          <w:b/>
          <w:sz w:val="44"/>
          <w:szCs w:val="36"/>
        </w:rPr>
        <w:t>Procedure</w:t>
      </w:r>
    </w:p>
    <w:p w14:paraId="60450359" w14:textId="6B2E722F" w:rsidR="00601C5B" w:rsidRDefault="00894109" w:rsidP="008B01CA">
      <w:pPr>
        <w:rPr>
          <w:rFonts w:ascii="Calibri" w:hAnsi="Calibri" w:cs="Arial"/>
          <w:b/>
          <w:sz w:val="36"/>
          <w:szCs w:val="36"/>
        </w:rPr>
      </w:pPr>
      <w:r>
        <w:rPr>
          <w:rFonts w:ascii="Calibri" w:hAnsi="Calibri" w:cs="Arial"/>
          <w:b/>
          <w:sz w:val="36"/>
          <w:szCs w:val="36"/>
        </w:rPr>
        <w:t xml:space="preserve">Intravenous </w:t>
      </w:r>
      <w:r w:rsidR="005C07D4">
        <w:rPr>
          <w:rFonts w:ascii="Calibri" w:hAnsi="Calibri" w:cs="Arial"/>
          <w:b/>
          <w:sz w:val="36"/>
          <w:szCs w:val="36"/>
        </w:rPr>
        <w:t>Dosing and Monitoring</w:t>
      </w:r>
      <w:r>
        <w:rPr>
          <w:rFonts w:ascii="Calibri" w:hAnsi="Calibri" w:cs="Arial"/>
          <w:b/>
          <w:sz w:val="36"/>
          <w:szCs w:val="36"/>
        </w:rPr>
        <w:t xml:space="preserve"> of</w:t>
      </w:r>
      <w:r w:rsidR="005C07D4">
        <w:rPr>
          <w:rFonts w:ascii="Calibri" w:hAnsi="Calibri" w:cs="Arial"/>
          <w:b/>
          <w:sz w:val="36"/>
          <w:szCs w:val="36"/>
        </w:rPr>
        <w:t xml:space="preserve"> </w:t>
      </w:r>
      <w:r w:rsidR="00366053">
        <w:rPr>
          <w:rFonts w:ascii="Calibri" w:hAnsi="Calibri" w:cs="Arial"/>
          <w:b/>
          <w:sz w:val="36"/>
          <w:szCs w:val="36"/>
        </w:rPr>
        <w:t>Aminoglycosides (</w:t>
      </w:r>
      <w:r>
        <w:rPr>
          <w:rFonts w:ascii="Calibri" w:hAnsi="Calibri" w:cs="Arial"/>
          <w:b/>
          <w:sz w:val="36"/>
          <w:szCs w:val="36"/>
        </w:rPr>
        <w:t xml:space="preserve">gentamicin, </w:t>
      </w:r>
      <w:r w:rsidR="00783176">
        <w:rPr>
          <w:rFonts w:ascii="Calibri" w:hAnsi="Calibri" w:cs="Arial"/>
          <w:b/>
          <w:sz w:val="36"/>
          <w:szCs w:val="36"/>
        </w:rPr>
        <w:t>tobramycin</w:t>
      </w:r>
      <w:r w:rsidR="00BB4752">
        <w:rPr>
          <w:rFonts w:ascii="Calibri" w:hAnsi="Calibri" w:cs="Arial"/>
          <w:b/>
          <w:sz w:val="36"/>
          <w:szCs w:val="36"/>
        </w:rPr>
        <w:t xml:space="preserve"> </w:t>
      </w:r>
      <w:r>
        <w:rPr>
          <w:rFonts w:ascii="Calibri" w:hAnsi="Calibri" w:cs="Arial"/>
          <w:b/>
          <w:sz w:val="36"/>
          <w:szCs w:val="36"/>
        </w:rPr>
        <w:t>and amikacin</w:t>
      </w:r>
      <w:r w:rsidR="00366053">
        <w:rPr>
          <w:rFonts w:ascii="Calibri" w:hAnsi="Calibri" w:cs="Arial"/>
          <w:b/>
          <w:sz w:val="36"/>
          <w:szCs w:val="36"/>
        </w:rPr>
        <w:t>)</w:t>
      </w:r>
      <w:r w:rsidR="00FD7972">
        <w:rPr>
          <w:rFonts w:ascii="Calibri" w:hAnsi="Calibri" w:cs="Arial"/>
          <w:b/>
          <w:sz w:val="36"/>
          <w:szCs w:val="36"/>
        </w:rPr>
        <w:t xml:space="preserve"> in Adults</w:t>
      </w:r>
    </w:p>
    <w:tbl>
      <w:tblPr>
        <w:tblpPr w:leftFromText="180" w:rightFromText="180" w:vertAnchor="text" w:horzAnchor="margin" w:tblpY="181"/>
        <w:tblW w:w="9158" w:type="dxa"/>
        <w:tblLook w:val="0000" w:firstRow="0" w:lastRow="0" w:firstColumn="0" w:lastColumn="0" w:noHBand="0" w:noVBand="0"/>
      </w:tblPr>
      <w:tblGrid>
        <w:gridCol w:w="9158"/>
      </w:tblGrid>
      <w:tr w:rsidR="00601C5B" w:rsidRPr="001B2BAC" w14:paraId="57323B45" w14:textId="77777777" w:rsidTr="007C6707">
        <w:trPr>
          <w:cantSplit/>
          <w:trHeight w:val="285"/>
        </w:trPr>
        <w:tc>
          <w:tcPr>
            <w:tcW w:w="9158" w:type="dxa"/>
            <w:shd w:val="clear" w:color="auto" w:fill="CCCCCC"/>
          </w:tcPr>
          <w:p w14:paraId="4BF37DE9" w14:textId="77777777" w:rsidR="00601C5B" w:rsidRPr="007C6707" w:rsidRDefault="00601C5B" w:rsidP="007C6707">
            <w:pPr>
              <w:pStyle w:val="Heading1"/>
              <w:framePr w:hSpace="0" w:wrap="auto" w:vAnchor="margin" w:hAnchor="text" w:xAlign="left" w:yAlign="inline"/>
            </w:pPr>
            <w:bookmarkStart w:id="0" w:name="_Toc38371892"/>
            <w:r w:rsidRPr="007C6707">
              <w:t>Contents</w:t>
            </w:r>
            <w:bookmarkEnd w:id="0"/>
            <w:r w:rsidRPr="007C6707">
              <w:t xml:space="preserve"> </w:t>
            </w:r>
          </w:p>
        </w:tc>
      </w:tr>
    </w:tbl>
    <w:p w14:paraId="529E5E40" w14:textId="5FFF3796" w:rsidR="00601C5B" w:rsidRPr="007C6707" w:rsidRDefault="00601C5B" w:rsidP="008B01CA">
      <w:pPr>
        <w:rPr>
          <w:rFonts w:ascii="Calibri" w:hAnsi="Calibri" w:cs="Arial"/>
          <w:b/>
        </w:rPr>
      </w:pPr>
    </w:p>
    <w:p w14:paraId="27200576" w14:textId="00E33B05" w:rsidR="004203CC" w:rsidRDefault="007C6707">
      <w:pPr>
        <w:pStyle w:val="TOC1"/>
        <w:tabs>
          <w:tab w:val="right" w:leader="dot" w:pos="9060"/>
        </w:tabs>
        <w:rPr>
          <w:rFonts w:asciiTheme="minorHAnsi" w:eastAsiaTheme="minorEastAsia" w:hAnsiTheme="minorHAnsi" w:cstheme="minorBidi"/>
          <w:noProof/>
          <w:sz w:val="22"/>
          <w:szCs w:val="22"/>
          <w:lang w:eastAsia="en-AU"/>
        </w:rPr>
      </w:pPr>
      <w:r>
        <w:rPr>
          <w:rFonts w:cs="Arial"/>
          <w:b/>
        </w:rPr>
        <w:fldChar w:fldCharType="begin"/>
      </w:r>
      <w:r>
        <w:rPr>
          <w:rFonts w:cs="Arial"/>
          <w:b/>
        </w:rPr>
        <w:instrText xml:space="preserve"> TOC \o "1-3" \h \z \u </w:instrText>
      </w:r>
      <w:r>
        <w:rPr>
          <w:rFonts w:cs="Arial"/>
          <w:b/>
        </w:rPr>
        <w:fldChar w:fldCharType="separate"/>
      </w:r>
      <w:hyperlink w:anchor="_Toc38371892" w:history="1">
        <w:r w:rsidR="004203CC" w:rsidRPr="00B363E7">
          <w:rPr>
            <w:rStyle w:val="Hyperlink"/>
            <w:noProof/>
          </w:rPr>
          <w:t>Contents</w:t>
        </w:r>
        <w:r w:rsidR="004203CC">
          <w:rPr>
            <w:noProof/>
            <w:webHidden/>
          </w:rPr>
          <w:tab/>
        </w:r>
        <w:r w:rsidR="004203CC">
          <w:rPr>
            <w:noProof/>
            <w:webHidden/>
          </w:rPr>
          <w:fldChar w:fldCharType="begin"/>
        </w:r>
        <w:r w:rsidR="004203CC">
          <w:rPr>
            <w:noProof/>
            <w:webHidden/>
          </w:rPr>
          <w:instrText xml:space="preserve"> PAGEREF _Toc38371892 \h </w:instrText>
        </w:r>
        <w:r w:rsidR="004203CC">
          <w:rPr>
            <w:noProof/>
            <w:webHidden/>
          </w:rPr>
        </w:r>
        <w:r w:rsidR="004203CC">
          <w:rPr>
            <w:noProof/>
            <w:webHidden/>
          </w:rPr>
          <w:fldChar w:fldCharType="separate"/>
        </w:r>
        <w:r w:rsidR="004203CC">
          <w:rPr>
            <w:noProof/>
            <w:webHidden/>
          </w:rPr>
          <w:t>1</w:t>
        </w:r>
        <w:r w:rsidR="004203CC">
          <w:rPr>
            <w:noProof/>
            <w:webHidden/>
          </w:rPr>
          <w:fldChar w:fldCharType="end"/>
        </w:r>
      </w:hyperlink>
    </w:p>
    <w:p w14:paraId="127E5AAF" w14:textId="48619E7E"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893" w:history="1">
        <w:r w:rsidR="004203CC" w:rsidRPr="00B363E7">
          <w:rPr>
            <w:rStyle w:val="Hyperlink"/>
            <w:noProof/>
          </w:rPr>
          <w:t>Purpose</w:t>
        </w:r>
        <w:r w:rsidR="004203CC">
          <w:rPr>
            <w:noProof/>
            <w:webHidden/>
          </w:rPr>
          <w:tab/>
        </w:r>
        <w:r w:rsidR="004203CC">
          <w:rPr>
            <w:noProof/>
            <w:webHidden/>
          </w:rPr>
          <w:fldChar w:fldCharType="begin"/>
        </w:r>
        <w:r w:rsidR="004203CC">
          <w:rPr>
            <w:noProof/>
            <w:webHidden/>
          </w:rPr>
          <w:instrText xml:space="preserve"> PAGEREF _Toc38371893 \h </w:instrText>
        </w:r>
        <w:r w:rsidR="004203CC">
          <w:rPr>
            <w:noProof/>
            <w:webHidden/>
          </w:rPr>
        </w:r>
        <w:r w:rsidR="004203CC">
          <w:rPr>
            <w:noProof/>
            <w:webHidden/>
          </w:rPr>
          <w:fldChar w:fldCharType="separate"/>
        </w:r>
        <w:r w:rsidR="004203CC">
          <w:rPr>
            <w:noProof/>
            <w:webHidden/>
          </w:rPr>
          <w:t>2</w:t>
        </w:r>
        <w:r w:rsidR="004203CC">
          <w:rPr>
            <w:noProof/>
            <w:webHidden/>
          </w:rPr>
          <w:fldChar w:fldCharType="end"/>
        </w:r>
      </w:hyperlink>
    </w:p>
    <w:p w14:paraId="1469A4BF" w14:textId="2CD5CE85"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894" w:history="1">
        <w:r w:rsidR="004203CC" w:rsidRPr="00B363E7">
          <w:rPr>
            <w:rStyle w:val="Hyperlink"/>
            <w:noProof/>
          </w:rPr>
          <w:t>Scope</w:t>
        </w:r>
        <w:r w:rsidR="004203CC">
          <w:rPr>
            <w:noProof/>
            <w:webHidden/>
          </w:rPr>
          <w:tab/>
        </w:r>
        <w:r w:rsidR="004203CC">
          <w:rPr>
            <w:noProof/>
            <w:webHidden/>
          </w:rPr>
          <w:fldChar w:fldCharType="begin"/>
        </w:r>
        <w:r w:rsidR="004203CC">
          <w:rPr>
            <w:noProof/>
            <w:webHidden/>
          </w:rPr>
          <w:instrText xml:space="preserve"> PAGEREF _Toc38371894 \h </w:instrText>
        </w:r>
        <w:r w:rsidR="004203CC">
          <w:rPr>
            <w:noProof/>
            <w:webHidden/>
          </w:rPr>
        </w:r>
        <w:r w:rsidR="004203CC">
          <w:rPr>
            <w:noProof/>
            <w:webHidden/>
          </w:rPr>
          <w:fldChar w:fldCharType="separate"/>
        </w:r>
        <w:r w:rsidR="004203CC">
          <w:rPr>
            <w:noProof/>
            <w:webHidden/>
          </w:rPr>
          <w:t>2</w:t>
        </w:r>
        <w:r w:rsidR="004203CC">
          <w:rPr>
            <w:noProof/>
            <w:webHidden/>
          </w:rPr>
          <w:fldChar w:fldCharType="end"/>
        </w:r>
      </w:hyperlink>
    </w:p>
    <w:p w14:paraId="33E1FD91" w14:textId="29DCE15A"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895" w:history="1">
        <w:r w:rsidR="004203CC" w:rsidRPr="00B363E7">
          <w:rPr>
            <w:rStyle w:val="Hyperlink"/>
            <w:noProof/>
          </w:rPr>
          <w:t>Alerts</w:t>
        </w:r>
        <w:r w:rsidR="004203CC">
          <w:rPr>
            <w:noProof/>
            <w:webHidden/>
          </w:rPr>
          <w:tab/>
        </w:r>
        <w:r w:rsidR="004203CC">
          <w:rPr>
            <w:noProof/>
            <w:webHidden/>
          </w:rPr>
          <w:fldChar w:fldCharType="begin"/>
        </w:r>
        <w:r w:rsidR="004203CC">
          <w:rPr>
            <w:noProof/>
            <w:webHidden/>
          </w:rPr>
          <w:instrText xml:space="preserve"> PAGEREF _Toc38371895 \h </w:instrText>
        </w:r>
        <w:r w:rsidR="004203CC">
          <w:rPr>
            <w:noProof/>
            <w:webHidden/>
          </w:rPr>
        </w:r>
        <w:r w:rsidR="004203CC">
          <w:rPr>
            <w:noProof/>
            <w:webHidden/>
          </w:rPr>
          <w:fldChar w:fldCharType="separate"/>
        </w:r>
        <w:r w:rsidR="004203CC">
          <w:rPr>
            <w:noProof/>
            <w:webHidden/>
          </w:rPr>
          <w:t>2</w:t>
        </w:r>
        <w:r w:rsidR="004203CC">
          <w:rPr>
            <w:noProof/>
            <w:webHidden/>
          </w:rPr>
          <w:fldChar w:fldCharType="end"/>
        </w:r>
      </w:hyperlink>
    </w:p>
    <w:p w14:paraId="7FC976C5" w14:textId="46CE9467"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896" w:history="1">
        <w:r w:rsidR="004203CC" w:rsidRPr="00B363E7">
          <w:rPr>
            <w:rStyle w:val="Hyperlink"/>
            <w:noProof/>
          </w:rPr>
          <w:t>Medication information</w:t>
        </w:r>
        <w:r w:rsidR="004203CC">
          <w:rPr>
            <w:noProof/>
            <w:webHidden/>
          </w:rPr>
          <w:tab/>
        </w:r>
        <w:r w:rsidR="004203CC">
          <w:rPr>
            <w:noProof/>
            <w:webHidden/>
          </w:rPr>
          <w:fldChar w:fldCharType="begin"/>
        </w:r>
        <w:r w:rsidR="004203CC">
          <w:rPr>
            <w:noProof/>
            <w:webHidden/>
          </w:rPr>
          <w:instrText xml:space="preserve"> PAGEREF _Toc38371896 \h </w:instrText>
        </w:r>
        <w:r w:rsidR="004203CC">
          <w:rPr>
            <w:noProof/>
            <w:webHidden/>
          </w:rPr>
        </w:r>
        <w:r w:rsidR="004203CC">
          <w:rPr>
            <w:noProof/>
            <w:webHidden/>
          </w:rPr>
          <w:fldChar w:fldCharType="separate"/>
        </w:r>
        <w:r w:rsidR="004203CC">
          <w:rPr>
            <w:noProof/>
            <w:webHidden/>
          </w:rPr>
          <w:t>2</w:t>
        </w:r>
        <w:r w:rsidR="004203CC">
          <w:rPr>
            <w:noProof/>
            <w:webHidden/>
          </w:rPr>
          <w:fldChar w:fldCharType="end"/>
        </w:r>
      </w:hyperlink>
    </w:p>
    <w:p w14:paraId="6EDE4E43" w14:textId="5DA4C0EC"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897" w:history="1">
        <w:r w:rsidR="004203CC" w:rsidRPr="00B363E7">
          <w:rPr>
            <w:rStyle w:val="Hyperlink"/>
            <w:noProof/>
          </w:rPr>
          <w:t>Section 1: Prescribing the initial dose</w:t>
        </w:r>
        <w:r w:rsidR="004203CC">
          <w:rPr>
            <w:noProof/>
            <w:webHidden/>
          </w:rPr>
          <w:tab/>
        </w:r>
        <w:r w:rsidR="004203CC">
          <w:rPr>
            <w:noProof/>
            <w:webHidden/>
          </w:rPr>
          <w:fldChar w:fldCharType="begin"/>
        </w:r>
        <w:r w:rsidR="004203CC">
          <w:rPr>
            <w:noProof/>
            <w:webHidden/>
          </w:rPr>
          <w:instrText xml:space="preserve"> PAGEREF _Toc38371897 \h </w:instrText>
        </w:r>
        <w:r w:rsidR="004203CC">
          <w:rPr>
            <w:noProof/>
            <w:webHidden/>
          </w:rPr>
        </w:r>
        <w:r w:rsidR="004203CC">
          <w:rPr>
            <w:noProof/>
            <w:webHidden/>
          </w:rPr>
          <w:fldChar w:fldCharType="separate"/>
        </w:r>
        <w:r w:rsidR="004203CC">
          <w:rPr>
            <w:noProof/>
            <w:webHidden/>
          </w:rPr>
          <w:t>4</w:t>
        </w:r>
        <w:r w:rsidR="004203CC">
          <w:rPr>
            <w:noProof/>
            <w:webHidden/>
          </w:rPr>
          <w:fldChar w:fldCharType="end"/>
        </w:r>
      </w:hyperlink>
    </w:p>
    <w:p w14:paraId="616D535A" w14:textId="7109F1E9"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898" w:history="1">
        <w:r w:rsidR="004203CC" w:rsidRPr="00B363E7">
          <w:rPr>
            <w:rStyle w:val="Hyperlink"/>
            <w:noProof/>
          </w:rPr>
          <w:t>Section 1.1: Standard gentamicin/tobramycin dosing</w:t>
        </w:r>
        <w:r w:rsidR="004203CC">
          <w:rPr>
            <w:noProof/>
            <w:webHidden/>
          </w:rPr>
          <w:tab/>
        </w:r>
        <w:r w:rsidR="004203CC">
          <w:rPr>
            <w:noProof/>
            <w:webHidden/>
          </w:rPr>
          <w:fldChar w:fldCharType="begin"/>
        </w:r>
        <w:r w:rsidR="004203CC">
          <w:rPr>
            <w:noProof/>
            <w:webHidden/>
          </w:rPr>
          <w:instrText xml:space="preserve"> PAGEREF _Toc38371898 \h </w:instrText>
        </w:r>
        <w:r w:rsidR="004203CC">
          <w:rPr>
            <w:noProof/>
            <w:webHidden/>
          </w:rPr>
        </w:r>
        <w:r w:rsidR="004203CC">
          <w:rPr>
            <w:noProof/>
            <w:webHidden/>
          </w:rPr>
          <w:fldChar w:fldCharType="separate"/>
        </w:r>
        <w:r w:rsidR="004203CC">
          <w:rPr>
            <w:noProof/>
            <w:webHidden/>
          </w:rPr>
          <w:t>4</w:t>
        </w:r>
        <w:r w:rsidR="004203CC">
          <w:rPr>
            <w:noProof/>
            <w:webHidden/>
          </w:rPr>
          <w:fldChar w:fldCharType="end"/>
        </w:r>
      </w:hyperlink>
    </w:p>
    <w:p w14:paraId="3A239D01" w14:textId="0570FF09"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899" w:history="1">
        <w:r w:rsidR="004203CC" w:rsidRPr="00B363E7">
          <w:rPr>
            <w:rStyle w:val="Hyperlink"/>
            <w:noProof/>
          </w:rPr>
          <w:t>Section 1.2: Standard amikacin dosing</w:t>
        </w:r>
        <w:r w:rsidR="004203CC">
          <w:rPr>
            <w:noProof/>
            <w:webHidden/>
          </w:rPr>
          <w:tab/>
        </w:r>
        <w:r w:rsidR="004203CC">
          <w:rPr>
            <w:noProof/>
            <w:webHidden/>
          </w:rPr>
          <w:fldChar w:fldCharType="begin"/>
        </w:r>
        <w:r w:rsidR="004203CC">
          <w:rPr>
            <w:noProof/>
            <w:webHidden/>
          </w:rPr>
          <w:instrText xml:space="preserve"> PAGEREF _Toc38371899 \h </w:instrText>
        </w:r>
        <w:r w:rsidR="004203CC">
          <w:rPr>
            <w:noProof/>
            <w:webHidden/>
          </w:rPr>
        </w:r>
        <w:r w:rsidR="004203CC">
          <w:rPr>
            <w:noProof/>
            <w:webHidden/>
          </w:rPr>
          <w:fldChar w:fldCharType="separate"/>
        </w:r>
        <w:r w:rsidR="004203CC">
          <w:rPr>
            <w:noProof/>
            <w:webHidden/>
          </w:rPr>
          <w:t>5</w:t>
        </w:r>
        <w:r w:rsidR="004203CC">
          <w:rPr>
            <w:noProof/>
            <w:webHidden/>
          </w:rPr>
          <w:fldChar w:fldCharType="end"/>
        </w:r>
      </w:hyperlink>
    </w:p>
    <w:p w14:paraId="034B0C21" w14:textId="49F1FF5E"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900" w:history="1">
        <w:r w:rsidR="004203CC" w:rsidRPr="00B363E7">
          <w:rPr>
            <w:rStyle w:val="Hyperlink"/>
            <w:noProof/>
          </w:rPr>
          <w:t>Section 1.3: Dosing in patients with special considerations</w:t>
        </w:r>
        <w:r w:rsidR="004203CC">
          <w:rPr>
            <w:noProof/>
            <w:webHidden/>
          </w:rPr>
          <w:tab/>
        </w:r>
        <w:r w:rsidR="004203CC">
          <w:rPr>
            <w:noProof/>
            <w:webHidden/>
          </w:rPr>
          <w:fldChar w:fldCharType="begin"/>
        </w:r>
        <w:r w:rsidR="004203CC">
          <w:rPr>
            <w:noProof/>
            <w:webHidden/>
          </w:rPr>
          <w:instrText xml:space="preserve"> PAGEREF _Toc38371900 \h </w:instrText>
        </w:r>
        <w:r w:rsidR="004203CC">
          <w:rPr>
            <w:noProof/>
            <w:webHidden/>
          </w:rPr>
        </w:r>
        <w:r w:rsidR="004203CC">
          <w:rPr>
            <w:noProof/>
            <w:webHidden/>
          </w:rPr>
          <w:fldChar w:fldCharType="separate"/>
        </w:r>
        <w:r w:rsidR="004203CC">
          <w:rPr>
            <w:noProof/>
            <w:webHidden/>
          </w:rPr>
          <w:t>5</w:t>
        </w:r>
        <w:r w:rsidR="004203CC">
          <w:rPr>
            <w:noProof/>
            <w:webHidden/>
          </w:rPr>
          <w:fldChar w:fldCharType="end"/>
        </w:r>
      </w:hyperlink>
    </w:p>
    <w:p w14:paraId="711CFC84" w14:textId="5992A8DB"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01" w:history="1">
        <w:r w:rsidR="004203CC" w:rsidRPr="00B363E7">
          <w:rPr>
            <w:rStyle w:val="Hyperlink"/>
            <w:noProof/>
          </w:rPr>
          <w:t>Section 1.3.1: Cystic Fibrosis</w:t>
        </w:r>
        <w:r w:rsidR="004203CC">
          <w:rPr>
            <w:noProof/>
            <w:webHidden/>
          </w:rPr>
          <w:tab/>
        </w:r>
        <w:r w:rsidR="004203CC">
          <w:rPr>
            <w:noProof/>
            <w:webHidden/>
          </w:rPr>
          <w:fldChar w:fldCharType="begin"/>
        </w:r>
        <w:r w:rsidR="004203CC">
          <w:rPr>
            <w:noProof/>
            <w:webHidden/>
          </w:rPr>
          <w:instrText xml:space="preserve"> PAGEREF _Toc38371901 \h </w:instrText>
        </w:r>
        <w:r w:rsidR="004203CC">
          <w:rPr>
            <w:noProof/>
            <w:webHidden/>
          </w:rPr>
        </w:r>
        <w:r w:rsidR="004203CC">
          <w:rPr>
            <w:noProof/>
            <w:webHidden/>
          </w:rPr>
          <w:fldChar w:fldCharType="separate"/>
        </w:r>
        <w:r w:rsidR="004203CC">
          <w:rPr>
            <w:noProof/>
            <w:webHidden/>
          </w:rPr>
          <w:t>5</w:t>
        </w:r>
        <w:r w:rsidR="004203CC">
          <w:rPr>
            <w:noProof/>
            <w:webHidden/>
          </w:rPr>
          <w:fldChar w:fldCharType="end"/>
        </w:r>
      </w:hyperlink>
    </w:p>
    <w:p w14:paraId="00104C72" w14:textId="3F7DAB51"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02" w:history="1">
        <w:r w:rsidR="004203CC" w:rsidRPr="00B363E7">
          <w:rPr>
            <w:rStyle w:val="Hyperlink"/>
            <w:noProof/>
          </w:rPr>
          <w:t>Section 1.3.2: Aminoglycosides in Pregnancy</w:t>
        </w:r>
        <w:r w:rsidR="004203CC">
          <w:rPr>
            <w:noProof/>
            <w:webHidden/>
          </w:rPr>
          <w:tab/>
        </w:r>
        <w:r w:rsidR="004203CC">
          <w:rPr>
            <w:noProof/>
            <w:webHidden/>
          </w:rPr>
          <w:fldChar w:fldCharType="begin"/>
        </w:r>
        <w:r w:rsidR="004203CC">
          <w:rPr>
            <w:noProof/>
            <w:webHidden/>
          </w:rPr>
          <w:instrText xml:space="preserve"> PAGEREF _Toc38371902 \h </w:instrText>
        </w:r>
        <w:r w:rsidR="004203CC">
          <w:rPr>
            <w:noProof/>
            <w:webHidden/>
          </w:rPr>
        </w:r>
        <w:r w:rsidR="004203CC">
          <w:rPr>
            <w:noProof/>
            <w:webHidden/>
          </w:rPr>
          <w:fldChar w:fldCharType="separate"/>
        </w:r>
        <w:r w:rsidR="004203CC">
          <w:rPr>
            <w:noProof/>
            <w:webHidden/>
          </w:rPr>
          <w:t>5</w:t>
        </w:r>
        <w:r w:rsidR="004203CC">
          <w:rPr>
            <w:noProof/>
            <w:webHidden/>
          </w:rPr>
          <w:fldChar w:fldCharType="end"/>
        </w:r>
      </w:hyperlink>
    </w:p>
    <w:p w14:paraId="0C51589B" w14:textId="2A9964BA"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03" w:history="1">
        <w:r w:rsidR="004203CC" w:rsidRPr="00B363E7">
          <w:rPr>
            <w:rStyle w:val="Hyperlink"/>
            <w:noProof/>
          </w:rPr>
          <w:t>Section 1.3.3: Endocarditis</w:t>
        </w:r>
        <w:r w:rsidR="004203CC">
          <w:rPr>
            <w:noProof/>
            <w:webHidden/>
          </w:rPr>
          <w:tab/>
        </w:r>
        <w:r w:rsidR="004203CC">
          <w:rPr>
            <w:noProof/>
            <w:webHidden/>
          </w:rPr>
          <w:fldChar w:fldCharType="begin"/>
        </w:r>
        <w:r w:rsidR="004203CC">
          <w:rPr>
            <w:noProof/>
            <w:webHidden/>
          </w:rPr>
          <w:instrText xml:space="preserve"> PAGEREF _Toc38371903 \h </w:instrText>
        </w:r>
        <w:r w:rsidR="004203CC">
          <w:rPr>
            <w:noProof/>
            <w:webHidden/>
          </w:rPr>
        </w:r>
        <w:r w:rsidR="004203CC">
          <w:rPr>
            <w:noProof/>
            <w:webHidden/>
          </w:rPr>
          <w:fldChar w:fldCharType="separate"/>
        </w:r>
        <w:r w:rsidR="004203CC">
          <w:rPr>
            <w:noProof/>
            <w:webHidden/>
          </w:rPr>
          <w:t>6</w:t>
        </w:r>
        <w:r w:rsidR="004203CC">
          <w:rPr>
            <w:noProof/>
            <w:webHidden/>
          </w:rPr>
          <w:fldChar w:fldCharType="end"/>
        </w:r>
      </w:hyperlink>
    </w:p>
    <w:p w14:paraId="27C0E5B6" w14:textId="5BBB22F1"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04" w:history="1">
        <w:r w:rsidR="004203CC" w:rsidRPr="00B363E7">
          <w:rPr>
            <w:rStyle w:val="Hyperlink"/>
            <w:noProof/>
          </w:rPr>
          <w:t>Section 1.3.4: Mycobacterial infections</w:t>
        </w:r>
        <w:r w:rsidR="004203CC">
          <w:rPr>
            <w:noProof/>
            <w:webHidden/>
          </w:rPr>
          <w:tab/>
        </w:r>
        <w:r w:rsidR="004203CC">
          <w:rPr>
            <w:noProof/>
            <w:webHidden/>
          </w:rPr>
          <w:fldChar w:fldCharType="begin"/>
        </w:r>
        <w:r w:rsidR="004203CC">
          <w:rPr>
            <w:noProof/>
            <w:webHidden/>
          </w:rPr>
          <w:instrText xml:space="preserve"> PAGEREF _Toc38371904 \h </w:instrText>
        </w:r>
        <w:r w:rsidR="004203CC">
          <w:rPr>
            <w:noProof/>
            <w:webHidden/>
          </w:rPr>
        </w:r>
        <w:r w:rsidR="004203CC">
          <w:rPr>
            <w:noProof/>
            <w:webHidden/>
          </w:rPr>
          <w:fldChar w:fldCharType="separate"/>
        </w:r>
        <w:r w:rsidR="004203CC">
          <w:rPr>
            <w:noProof/>
            <w:webHidden/>
          </w:rPr>
          <w:t>6</w:t>
        </w:r>
        <w:r w:rsidR="004203CC">
          <w:rPr>
            <w:noProof/>
            <w:webHidden/>
          </w:rPr>
          <w:fldChar w:fldCharType="end"/>
        </w:r>
      </w:hyperlink>
    </w:p>
    <w:p w14:paraId="2E394F7A" w14:textId="69C1071E"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05" w:history="1">
        <w:r w:rsidR="004203CC" w:rsidRPr="00B363E7">
          <w:rPr>
            <w:rStyle w:val="Hyperlink"/>
            <w:noProof/>
          </w:rPr>
          <w:t>Section 2: Monitoring and prescribing of subsequent doses</w:t>
        </w:r>
        <w:r w:rsidR="004203CC">
          <w:rPr>
            <w:noProof/>
            <w:webHidden/>
          </w:rPr>
          <w:tab/>
        </w:r>
        <w:r w:rsidR="004203CC">
          <w:rPr>
            <w:noProof/>
            <w:webHidden/>
          </w:rPr>
          <w:fldChar w:fldCharType="begin"/>
        </w:r>
        <w:r w:rsidR="004203CC">
          <w:rPr>
            <w:noProof/>
            <w:webHidden/>
          </w:rPr>
          <w:instrText xml:space="preserve"> PAGEREF _Toc38371905 \h </w:instrText>
        </w:r>
        <w:r w:rsidR="004203CC">
          <w:rPr>
            <w:noProof/>
            <w:webHidden/>
          </w:rPr>
        </w:r>
        <w:r w:rsidR="004203CC">
          <w:rPr>
            <w:noProof/>
            <w:webHidden/>
          </w:rPr>
          <w:fldChar w:fldCharType="separate"/>
        </w:r>
        <w:r w:rsidR="004203CC">
          <w:rPr>
            <w:noProof/>
            <w:webHidden/>
          </w:rPr>
          <w:t>7</w:t>
        </w:r>
        <w:r w:rsidR="004203CC">
          <w:rPr>
            <w:noProof/>
            <w:webHidden/>
          </w:rPr>
          <w:fldChar w:fldCharType="end"/>
        </w:r>
      </w:hyperlink>
    </w:p>
    <w:p w14:paraId="67AAD336" w14:textId="24A69914"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906" w:history="1">
        <w:r w:rsidR="004203CC" w:rsidRPr="00B363E7">
          <w:rPr>
            <w:rStyle w:val="Hyperlink"/>
            <w:noProof/>
          </w:rPr>
          <w:t>Section 2.1:  Single sample TDM</w:t>
        </w:r>
        <w:r w:rsidR="004203CC">
          <w:rPr>
            <w:noProof/>
            <w:webHidden/>
          </w:rPr>
          <w:tab/>
        </w:r>
        <w:r w:rsidR="004203CC">
          <w:rPr>
            <w:noProof/>
            <w:webHidden/>
          </w:rPr>
          <w:fldChar w:fldCharType="begin"/>
        </w:r>
        <w:r w:rsidR="004203CC">
          <w:rPr>
            <w:noProof/>
            <w:webHidden/>
          </w:rPr>
          <w:instrText xml:space="preserve"> PAGEREF _Toc38371906 \h </w:instrText>
        </w:r>
        <w:r w:rsidR="004203CC">
          <w:rPr>
            <w:noProof/>
            <w:webHidden/>
          </w:rPr>
        </w:r>
        <w:r w:rsidR="004203CC">
          <w:rPr>
            <w:noProof/>
            <w:webHidden/>
          </w:rPr>
          <w:fldChar w:fldCharType="separate"/>
        </w:r>
        <w:r w:rsidR="004203CC">
          <w:rPr>
            <w:noProof/>
            <w:webHidden/>
          </w:rPr>
          <w:t>8</w:t>
        </w:r>
        <w:r w:rsidR="004203CC">
          <w:rPr>
            <w:noProof/>
            <w:webHidden/>
          </w:rPr>
          <w:fldChar w:fldCharType="end"/>
        </w:r>
      </w:hyperlink>
    </w:p>
    <w:p w14:paraId="1F759AEE" w14:textId="60EB5FC4"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907" w:history="1">
        <w:r w:rsidR="004203CC" w:rsidRPr="00B363E7">
          <w:rPr>
            <w:rStyle w:val="Hyperlink"/>
            <w:noProof/>
          </w:rPr>
          <w:t>Section 2.2: Two-Sample TDM</w:t>
        </w:r>
        <w:r w:rsidR="004203CC">
          <w:rPr>
            <w:noProof/>
            <w:webHidden/>
          </w:rPr>
          <w:tab/>
        </w:r>
        <w:r w:rsidR="004203CC">
          <w:rPr>
            <w:noProof/>
            <w:webHidden/>
          </w:rPr>
          <w:fldChar w:fldCharType="begin"/>
        </w:r>
        <w:r w:rsidR="004203CC">
          <w:rPr>
            <w:noProof/>
            <w:webHidden/>
          </w:rPr>
          <w:instrText xml:space="preserve"> PAGEREF _Toc38371907 \h </w:instrText>
        </w:r>
        <w:r w:rsidR="004203CC">
          <w:rPr>
            <w:noProof/>
            <w:webHidden/>
          </w:rPr>
        </w:r>
        <w:r w:rsidR="004203CC">
          <w:rPr>
            <w:noProof/>
            <w:webHidden/>
          </w:rPr>
          <w:fldChar w:fldCharType="separate"/>
        </w:r>
        <w:r w:rsidR="004203CC">
          <w:rPr>
            <w:noProof/>
            <w:webHidden/>
          </w:rPr>
          <w:t>9</w:t>
        </w:r>
        <w:r w:rsidR="004203CC">
          <w:rPr>
            <w:noProof/>
            <w:webHidden/>
          </w:rPr>
          <w:fldChar w:fldCharType="end"/>
        </w:r>
      </w:hyperlink>
    </w:p>
    <w:p w14:paraId="7DC56DE8" w14:textId="22D1B2E6"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908" w:history="1">
        <w:r w:rsidR="004203CC" w:rsidRPr="00B363E7">
          <w:rPr>
            <w:rStyle w:val="Hyperlink"/>
            <w:noProof/>
          </w:rPr>
          <w:t>Section 2.3: TDM for unique indications</w:t>
        </w:r>
        <w:r w:rsidR="004203CC">
          <w:rPr>
            <w:noProof/>
            <w:webHidden/>
          </w:rPr>
          <w:tab/>
        </w:r>
        <w:r w:rsidR="004203CC">
          <w:rPr>
            <w:noProof/>
            <w:webHidden/>
          </w:rPr>
          <w:fldChar w:fldCharType="begin"/>
        </w:r>
        <w:r w:rsidR="004203CC">
          <w:rPr>
            <w:noProof/>
            <w:webHidden/>
          </w:rPr>
          <w:instrText xml:space="preserve"> PAGEREF _Toc38371908 \h </w:instrText>
        </w:r>
        <w:r w:rsidR="004203CC">
          <w:rPr>
            <w:noProof/>
            <w:webHidden/>
          </w:rPr>
        </w:r>
        <w:r w:rsidR="004203CC">
          <w:rPr>
            <w:noProof/>
            <w:webHidden/>
          </w:rPr>
          <w:fldChar w:fldCharType="separate"/>
        </w:r>
        <w:r w:rsidR="004203CC">
          <w:rPr>
            <w:noProof/>
            <w:webHidden/>
          </w:rPr>
          <w:t>10</w:t>
        </w:r>
        <w:r w:rsidR="004203CC">
          <w:rPr>
            <w:noProof/>
            <w:webHidden/>
          </w:rPr>
          <w:fldChar w:fldCharType="end"/>
        </w:r>
      </w:hyperlink>
    </w:p>
    <w:p w14:paraId="1A164822" w14:textId="171266DD"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09" w:history="1">
        <w:r w:rsidR="004203CC" w:rsidRPr="00B363E7">
          <w:rPr>
            <w:rStyle w:val="Hyperlink"/>
            <w:noProof/>
          </w:rPr>
          <w:t>Section 2.3.1: Mycobacterial infections</w:t>
        </w:r>
        <w:r w:rsidR="004203CC">
          <w:rPr>
            <w:noProof/>
            <w:webHidden/>
          </w:rPr>
          <w:tab/>
        </w:r>
        <w:r w:rsidR="004203CC">
          <w:rPr>
            <w:noProof/>
            <w:webHidden/>
          </w:rPr>
          <w:fldChar w:fldCharType="begin"/>
        </w:r>
        <w:r w:rsidR="004203CC">
          <w:rPr>
            <w:noProof/>
            <w:webHidden/>
          </w:rPr>
          <w:instrText xml:space="preserve"> PAGEREF _Toc38371909 \h </w:instrText>
        </w:r>
        <w:r w:rsidR="004203CC">
          <w:rPr>
            <w:noProof/>
            <w:webHidden/>
          </w:rPr>
        </w:r>
        <w:r w:rsidR="004203CC">
          <w:rPr>
            <w:noProof/>
            <w:webHidden/>
          </w:rPr>
          <w:fldChar w:fldCharType="separate"/>
        </w:r>
        <w:r w:rsidR="004203CC">
          <w:rPr>
            <w:noProof/>
            <w:webHidden/>
          </w:rPr>
          <w:t>10</w:t>
        </w:r>
        <w:r w:rsidR="004203CC">
          <w:rPr>
            <w:noProof/>
            <w:webHidden/>
          </w:rPr>
          <w:fldChar w:fldCharType="end"/>
        </w:r>
      </w:hyperlink>
    </w:p>
    <w:p w14:paraId="63D9F4B9" w14:textId="4F333155" w:rsidR="004203CC" w:rsidRDefault="00CE5172">
      <w:pPr>
        <w:pStyle w:val="TOC3"/>
        <w:tabs>
          <w:tab w:val="right" w:leader="dot" w:pos="9060"/>
        </w:tabs>
        <w:rPr>
          <w:rFonts w:asciiTheme="minorHAnsi" w:eastAsiaTheme="minorEastAsia" w:hAnsiTheme="minorHAnsi" w:cstheme="minorBidi"/>
          <w:noProof/>
          <w:sz w:val="22"/>
          <w:szCs w:val="22"/>
          <w:lang w:eastAsia="en-AU"/>
        </w:rPr>
      </w:pPr>
      <w:hyperlink w:anchor="_Toc38371910" w:history="1">
        <w:r w:rsidR="004203CC" w:rsidRPr="00B363E7">
          <w:rPr>
            <w:rStyle w:val="Hyperlink"/>
            <w:rFonts w:eastAsia="Calibri"/>
            <w:noProof/>
          </w:rPr>
          <w:t>Section 2.3.2 Endocarditis</w:t>
        </w:r>
        <w:r w:rsidR="004203CC" w:rsidRPr="00B363E7">
          <w:rPr>
            <w:rStyle w:val="Hyperlink"/>
            <w:noProof/>
          </w:rPr>
          <w:t xml:space="preserve"> – synergistic dosing</w:t>
        </w:r>
        <w:r w:rsidR="004203CC">
          <w:rPr>
            <w:noProof/>
            <w:webHidden/>
          </w:rPr>
          <w:tab/>
        </w:r>
        <w:r w:rsidR="004203CC">
          <w:rPr>
            <w:noProof/>
            <w:webHidden/>
          </w:rPr>
          <w:fldChar w:fldCharType="begin"/>
        </w:r>
        <w:r w:rsidR="004203CC">
          <w:rPr>
            <w:noProof/>
            <w:webHidden/>
          </w:rPr>
          <w:instrText xml:space="preserve"> PAGEREF _Toc38371910 \h </w:instrText>
        </w:r>
        <w:r w:rsidR="004203CC">
          <w:rPr>
            <w:noProof/>
            <w:webHidden/>
          </w:rPr>
        </w:r>
        <w:r w:rsidR="004203CC">
          <w:rPr>
            <w:noProof/>
            <w:webHidden/>
          </w:rPr>
          <w:fldChar w:fldCharType="separate"/>
        </w:r>
        <w:r w:rsidR="004203CC">
          <w:rPr>
            <w:noProof/>
            <w:webHidden/>
          </w:rPr>
          <w:t>11</w:t>
        </w:r>
        <w:r w:rsidR="004203CC">
          <w:rPr>
            <w:noProof/>
            <w:webHidden/>
          </w:rPr>
          <w:fldChar w:fldCharType="end"/>
        </w:r>
      </w:hyperlink>
    </w:p>
    <w:p w14:paraId="3B8E5C23" w14:textId="01C53991" w:rsidR="004203CC" w:rsidRDefault="00CE5172">
      <w:pPr>
        <w:pStyle w:val="TOC2"/>
        <w:tabs>
          <w:tab w:val="right" w:leader="dot" w:pos="9060"/>
        </w:tabs>
        <w:rPr>
          <w:rFonts w:asciiTheme="minorHAnsi" w:eastAsiaTheme="minorEastAsia" w:hAnsiTheme="minorHAnsi" w:cstheme="minorBidi"/>
          <w:noProof/>
          <w:sz w:val="22"/>
          <w:szCs w:val="22"/>
          <w:lang w:eastAsia="en-AU"/>
        </w:rPr>
      </w:pPr>
      <w:hyperlink w:anchor="_Toc38371911" w:history="1">
        <w:r w:rsidR="004203CC" w:rsidRPr="00B363E7">
          <w:rPr>
            <w:rStyle w:val="Hyperlink"/>
            <w:rFonts w:eastAsia="Calibri"/>
            <w:noProof/>
          </w:rPr>
          <w:t xml:space="preserve">Section 2.4. </w:t>
        </w:r>
        <w:r w:rsidR="004203CC" w:rsidRPr="00B363E7">
          <w:rPr>
            <w:rStyle w:val="Hyperlink"/>
            <w:noProof/>
          </w:rPr>
          <w:t>Clinical monitoring requirements</w:t>
        </w:r>
        <w:r w:rsidR="004203CC">
          <w:rPr>
            <w:noProof/>
            <w:webHidden/>
          </w:rPr>
          <w:tab/>
        </w:r>
        <w:r w:rsidR="004203CC">
          <w:rPr>
            <w:noProof/>
            <w:webHidden/>
          </w:rPr>
          <w:fldChar w:fldCharType="begin"/>
        </w:r>
        <w:r w:rsidR="004203CC">
          <w:rPr>
            <w:noProof/>
            <w:webHidden/>
          </w:rPr>
          <w:instrText xml:space="preserve"> PAGEREF _Toc38371911 \h </w:instrText>
        </w:r>
        <w:r w:rsidR="004203CC">
          <w:rPr>
            <w:noProof/>
            <w:webHidden/>
          </w:rPr>
        </w:r>
        <w:r w:rsidR="004203CC">
          <w:rPr>
            <w:noProof/>
            <w:webHidden/>
          </w:rPr>
          <w:fldChar w:fldCharType="separate"/>
        </w:r>
        <w:r w:rsidR="004203CC">
          <w:rPr>
            <w:noProof/>
            <w:webHidden/>
          </w:rPr>
          <w:t>11</w:t>
        </w:r>
        <w:r w:rsidR="004203CC">
          <w:rPr>
            <w:noProof/>
            <w:webHidden/>
          </w:rPr>
          <w:fldChar w:fldCharType="end"/>
        </w:r>
      </w:hyperlink>
    </w:p>
    <w:p w14:paraId="5F717903" w14:textId="34821970"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12" w:history="1">
        <w:r w:rsidR="004203CC" w:rsidRPr="00B363E7">
          <w:rPr>
            <w:rStyle w:val="Hyperlink"/>
            <w:noProof/>
          </w:rPr>
          <w:t>Section 3: Drug Administration</w:t>
        </w:r>
        <w:r w:rsidR="004203CC">
          <w:rPr>
            <w:noProof/>
            <w:webHidden/>
          </w:rPr>
          <w:tab/>
        </w:r>
        <w:r w:rsidR="004203CC">
          <w:rPr>
            <w:noProof/>
            <w:webHidden/>
          </w:rPr>
          <w:fldChar w:fldCharType="begin"/>
        </w:r>
        <w:r w:rsidR="004203CC">
          <w:rPr>
            <w:noProof/>
            <w:webHidden/>
          </w:rPr>
          <w:instrText xml:space="preserve"> PAGEREF _Toc38371912 \h </w:instrText>
        </w:r>
        <w:r w:rsidR="004203CC">
          <w:rPr>
            <w:noProof/>
            <w:webHidden/>
          </w:rPr>
        </w:r>
        <w:r w:rsidR="004203CC">
          <w:rPr>
            <w:noProof/>
            <w:webHidden/>
          </w:rPr>
          <w:fldChar w:fldCharType="separate"/>
        </w:r>
        <w:r w:rsidR="004203CC">
          <w:rPr>
            <w:noProof/>
            <w:webHidden/>
          </w:rPr>
          <w:t>12</w:t>
        </w:r>
        <w:r w:rsidR="004203CC">
          <w:rPr>
            <w:noProof/>
            <w:webHidden/>
          </w:rPr>
          <w:fldChar w:fldCharType="end"/>
        </w:r>
      </w:hyperlink>
    </w:p>
    <w:p w14:paraId="1F3C612D" w14:textId="30916829"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13" w:history="1">
        <w:r w:rsidR="004203CC" w:rsidRPr="00B363E7">
          <w:rPr>
            <w:rStyle w:val="Hyperlink"/>
            <w:noProof/>
          </w:rPr>
          <w:t>Related Legislation, Policies and Standards</w:t>
        </w:r>
        <w:r w:rsidR="004203CC">
          <w:rPr>
            <w:noProof/>
            <w:webHidden/>
          </w:rPr>
          <w:tab/>
        </w:r>
        <w:r w:rsidR="004203CC">
          <w:rPr>
            <w:noProof/>
            <w:webHidden/>
          </w:rPr>
          <w:fldChar w:fldCharType="begin"/>
        </w:r>
        <w:r w:rsidR="004203CC">
          <w:rPr>
            <w:noProof/>
            <w:webHidden/>
          </w:rPr>
          <w:instrText xml:space="preserve"> PAGEREF _Toc38371913 \h </w:instrText>
        </w:r>
        <w:r w:rsidR="004203CC">
          <w:rPr>
            <w:noProof/>
            <w:webHidden/>
          </w:rPr>
        </w:r>
        <w:r w:rsidR="004203CC">
          <w:rPr>
            <w:noProof/>
            <w:webHidden/>
          </w:rPr>
          <w:fldChar w:fldCharType="separate"/>
        </w:r>
        <w:r w:rsidR="004203CC">
          <w:rPr>
            <w:noProof/>
            <w:webHidden/>
          </w:rPr>
          <w:t>12</w:t>
        </w:r>
        <w:r w:rsidR="004203CC">
          <w:rPr>
            <w:noProof/>
            <w:webHidden/>
          </w:rPr>
          <w:fldChar w:fldCharType="end"/>
        </w:r>
      </w:hyperlink>
    </w:p>
    <w:p w14:paraId="6A68C334" w14:textId="60842FFD"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14" w:history="1">
        <w:r w:rsidR="004203CC" w:rsidRPr="00B363E7">
          <w:rPr>
            <w:rStyle w:val="Hyperlink"/>
            <w:noProof/>
          </w:rPr>
          <w:t>References</w:t>
        </w:r>
        <w:r w:rsidR="004203CC">
          <w:rPr>
            <w:noProof/>
            <w:webHidden/>
          </w:rPr>
          <w:tab/>
        </w:r>
        <w:r w:rsidR="004203CC">
          <w:rPr>
            <w:noProof/>
            <w:webHidden/>
          </w:rPr>
          <w:fldChar w:fldCharType="begin"/>
        </w:r>
        <w:r w:rsidR="004203CC">
          <w:rPr>
            <w:noProof/>
            <w:webHidden/>
          </w:rPr>
          <w:instrText xml:space="preserve"> PAGEREF _Toc38371914 \h </w:instrText>
        </w:r>
        <w:r w:rsidR="004203CC">
          <w:rPr>
            <w:noProof/>
            <w:webHidden/>
          </w:rPr>
        </w:r>
        <w:r w:rsidR="004203CC">
          <w:rPr>
            <w:noProof/>
            <w:webHidden/>
          </w:rPr>
          <w:fldChar w:fldCharType="separate"/>
        </w:r>
        <w:r w:rsidR="004203CC">
          <w:rPr>
            <w:noProof/>
            <w:webHidden/>
          </w:rPr>
          <w:t>13</w:t>
        </w:r>
        <w:r w:rsidR="004203CC">
          <w:rPr>
            <w:noProof/>
            <w:webHidden/>
          </w:rPr>
          <w:fldChar w:fldCharType="end"/>
        </w:r>
      </w:hyperlink>
    </w:p>
    <w:p w14:paraId="50158326" w14:textId="7D70602C"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15" w:history="1">
        <w:r w:rsidR="004203CC" w:rsidRPr="00B363E7">
          <w:rPr>
            <w:rStyle w:val="Hyperlink"/>
            <w:noProof/>
          </w:rPr>
          <w:t>Search Terms</w:t>
        </w:r>
        <w:r w:rsidR="004203CC">
          <w:rPr>
            <w:noProof/>
            <w:webHidden/>
          </w:rPr>
          <w:tab/>
        </w:r>
        <w:r w:rsidR="004203CC">
          <w:rPr>
            <w:noProof/>
            <w:webHidden/>
          </w:rPr>
          <w:fldChar w:fldCharType="begin"/>
        </w:r>
        <w:r w:rsidR="004203CC">
          <w:rPr>
            <w:noProof/>
            <w:webHidden/>
          </w:rPr>
          <w:instrText xml:space="preserve"> PAGEREF _Toc38371915 \h </w:instrText>
        </w:r>
        <w:r w:rsidR="004203CC">
          <w:rPr>
            <w:noProof/>
            <w:webHidden/>
          </w:rPr>
        </w:r>
        <w:r w:rsidR="004203CC">
          <w:rPr>
            <w:noProof/>
            <w:webHidden/>
          </w:rPr>
          <w:fldChar w:fldCharType="separate"/>
        </w:r>
        <w:r w:rsidR="004203CC">
          <w:rPr>
            <w:noProof/>
            <w:webHidden/>
          </w:rPr>
          <w:t>13</w:t>
        </w:r>
        <w:r w:rsidR="004203CC">
          <w:rPr>
            <w:noProof/>
            <w:webHidden/>
          </w:rPr>
          <w:fldChar w:fldCharType="end"/>
        </w:r>
      </w:hyperlink>
    </w:p>
    <w:p w14:paraId="645519CD" w14:textId="4147E0B7" w:rsidR="004203CC" w:rsidRDefault="00CE5172">
      <w:pPr>
        <w:pStyle w:val="TOC1"/>
        <w:tabs>
          <w:tab w:val="right" w:leader="dot" w:pos="9060"/>
        </w:tabs>
        <w:rPr>
          <w:rFonts w:asciiTheme="minorHAnsi" w:eastAsiaTheme="minorEastAsia" w:hAnsiTheme="minorHAnsi" w:cstheme="minorBidi"/>
          <w:noProof/>
          <w:sz w:val="22"/>
          <w:szCs w:val="22"/>
          <w:lang w:eastAsia="en-AU"/>
        </w:rPr>
      </w:pPr>
      <w:hyperlink w:anchor="_Toc38371916" w:history="1">
        <w:r w:rsidR="004203CC" w:rsidRPr="00B363E7">
          <w:rPr>
            <w:rStyle w:val="Hyperlink"/>
            <w:noProof/>
          </w:rPr>
          <w:t>Attachments</w:t>
        </w:r>
        <w:r w:rsidR="004203CC">
          <w:rPr>
            <w:noProof/>
            <w:webHidden/>
          </w:rPr>
          <w:tab/>
        </w:r>
        <w:r w:rsidR="004203CC">
          <w:rPr>
            <w:noProof/>
            <w:webHidden/>
          </w:rPr>
          <w:fldChar w:fldCharType="begin"/>
        </w:r>
        <w:r w:rsidR="004203CC">
          <w:rPr>
            <w:noProof/>
            <w:webHidden/>
          </w:rPr>
          <w:instrText xml:space="preserve"> PAGEREF _Toc38371916 \h </w:instrText>
        </w:r>
        <w:r w:rsidR="004203CC">
          <w:rPr>
            <w:noProof/>
            <w:webHidden/>
          </w:rPr>
        </w:r>
        <w:r w:rsidR="004203CC">
          <w:rPr>
            <w:noProof/>
            <w:webHidden/>
          </w:rPr>
          <w:fldChar w:fldCharType="separate"/>
        </w:r>
        <w:r w:rsidR="004203CC">
          <w:rPr>
            <w:noProof/>
            <w:webHidden/>
          </w:rPr>
          <w:t>13</w:t>
        </w:r>
        <w:r w:rsidR="004203CC">
          <w:rPr>
            <w:noProof/>
            <w:webHidden/>
          </w:rPr>
          <w:fldChar w:fldCharType="end"/>
        </w:r>
      </w:hyperlink>
    </w:p>
    <w:p w14:paraId="32BADBEC" w14:textId="1C255299" w:rsidR="00601C5B" w:rsidRPr="007C6707" w:rsidRDefault="00CE5172" w:rsidP="00161D7D">
      <w:pPr>
        <w:pStyle w:val="TOC2"/>
        <w:tabs>
          <w:tab w:val="right" w:leader="dot" w:pos="9060"/>
        </w:tabs>
        <w:rPr>
          <w:rFonts w:cs="Arial"/>
        </w:rPr>
      </w:pPr>
      <w:hyperlink w:anchor="_Toc38371917" w:history="1">
        <w:r w:rsidR="004203CC" w:rsidRPr="00B363E7">
          <w:rPr>
            <w:rStyle w:val="Hyperlink"/>
            <w:noProof/>
          </w:rPr>
          <w:t>Appendix 1 – Dosing calculation using Ideal Body Weight (IBW)</w:t>
        </w:r>
        <w:r w:rsidR="004203CC">
          <w:rPr>
            <w:noProof/>
            <w:webHidden/>
          </w:rPr>
          <w:tab/>
        </w:r>
        <w:r w:rsidR="004203CC">
          <w:rPr>
            <w:noProof/>
            <w:webHidden/>
          </w:rPr>
          <w:fldChar w:fldCharType="begin"/>
        </w:r>
        <w:r w:rsidR="004203CC">
          <w:rPr>
            <w:noProof/>
            <w:webHidden/>
          </w:rPr>
          <w:instrText xml:space="preserve"> PAGEREF _Toc38371917 \h </w:instrText>
        </w:r>
        <w:r w:rsidR="004203CC">
          <w:rPr>
            <w:noProof/>
            <w:webHidden/>
          </w:rPr>
        </w:r>
        <w:r w:rsidR="004203CC">
          <w:rPr>
            <w:noProof/>
            <w:webHidden/>
          </w:rPr>
          <w:fldChar w:fldCharType="separate"/>
        </w:r>
        <w:r w:rsidR="004203CC">
          <w:rPr>
            <w:noProof/>
            <w:webHidden/>
          </w:rPr>
          <w:t>15</w:t>
        </w:r>
        <w:r w:rsidR="004203CC">
          <w:rPr>
            <w:noProof/>
            <w:webHidden/>
          </w:rPr>
          <w:fldChar w:fldCharType="end"/>
        </w:r>
      </w:hyperlink>
      <w:r w:rsidR="007C6707">
        <w:rPr>
          <w:rFonts w:cs="Arial"/>
          <w:b/>
        </w:rPr>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A71C2C" w:rsidRPr="001B2BAC" w14:paraId="699D8DB1" w14:textId="77777777" w:rsidTr="007C6707">
        <w:trPr>
          <w:cantSplit/>
          <w:trHeight w:val="285"/>
        </w:trPr>
        <w:tc>
          <w:tcPr>
            <w:tcW w:w="9158" w:type="dxa"/>
            <w:shd w:val="clear" w:color="auto" w:fill="CCCCCC"/>
          </w:tcPr>
          <w:p w14:paraId="308140BE" w14:textId="4730A9E1" w:rsidR="00A71C2C" w:rsidRPr="00601C5B" w:rsidRDefault="00A71C2C" w:rsidP="007C6707">
            <w:pPr>
              <w:pStyle w:val="Heading1"/>
              <w:framePr w:hSpace="0" w:wrap="auto" w:vAnchor="margin" w:hAnchor="text" w:xAlign="left" w:yAlign="inline"/>
            </w:pPr>
            <w:bookmarkStart w:id="1" w:name="_Toc38371893"/>
            <w:r w:rsidRPr="00601C5B">
              <w:lastRenderedPageBreak/>
              <w:t>Purpose</w:t>
            </w:r>
            <w:bookmarkEnd w:id="1"/>
            <w:r w:rsidR="00601C5B" w:rsidRPr="00601C5B">
              <w:tab/>
            </w:r>
          </w:p>
        </w:tc>
      </w:tr>
    </w:tbl>
    <w:p w14:paraId="5C51A2E1" w14:textId="77777777" w:rsidR="00A71C2C" w:rsidRDefault="00A71C2C" w:rsidP="00A71C2C">
      <w:pPr>
        <w:jc w:val="both"/>
        <w:rPr>
          <w:rFonts w:ascii="Calibri" w:hAnsi="Calibri" w:cs="Arial"/>
          <w:b/>
          <w:szCs w:val="24"/>
        </w:rPr>
      </w:pPr>
    </w:p>
    <w:p w14:paraId="42E27AF0" w14:textId="37923B50" w:rsidR="001F70FA" w:rsidRPr="0048414C" w:rsidRDefault="005C07D4" w:rsidP="001F70FA">
      <w:pPr>
        <w:jc w:val="both"/>
        <w:rPr>
          <w:rFonts w:asciiTheme="minorHAnsi" w:hAnsiTheme="minorHAnsi" w:cstheme="minorHAnsi"/>
          <w:szCs w:val="24"/>
        </w:rPr>
      </w:pPr>
      <w:r>
        <w:rPr>
          <w:rFonts w:asciiTheme="minorHAnsi" w:hAnsiTheme="minorHAnsi" w:cstheme="minorHAnsi"/>
          <w:szCs w:val="24"/>
        </w:rPr>
        <w:t>To ensure the safe prescribing,</w:t>
      </w:r>
      <w:r w:rsidR="001F70FA" w:rsidRPr="0048414C">
        <w:rPr>
          <w:rFonts w:asciiTheme="minorHAnsi" w:hAnsiTheme="minorHAnsi" w:cstheme="minorHAnsi"/>
          <w:szCs w:val="24"/>
        </w:rPr>
        <w:t xml:space="preserve"> administration </w:t>
      </w:r>
      <w:r>
        <w:rPr>
          <w:rFonts w:asciiTheme="minorHAnsi" w:hAnsiTheme="minorHAnsi" w:cstheme="minorHAnsi"/>
          <w:szCs w:val="24"/>
        </w:rPr>
        <w:t xml:space="preserve">and monitoring </w:t>
      </w:r>
      <w:r w:rsidR="001F70FA" w:rsidRPr="0048414C">
        <w:rPr>
          <w:rFonts w:asciiTheme="minorHAnsi" w:hAnsiTheme="minorHAnsi" w:cstheme="minorHAnsi"/>
          <w:szCs w:val="24"/>
        </w:rPr>
        <w:t xml:space="preserve">of </w:t>
      </w:r>
      <w:r w:rsidR="004340DD">
        <w:rPr>
          <w:rFonts w:asciiTheme="minorHAnsi" w:hAnsiTheme="minorHAnsi" w:cstheme="minorHAnsi"/>
          <w:szCs w:val="24"/>
        </w:rPr>
        <w:t xml:space="preserve">intravenous </w:t>
      </w:r>
      <w:r w:rsidR="00125E74">
        <w:rPr>
          <w:rFonts w:asciiTheme="minorHAnsi" w:hAnsiTheme="minorHAnsi" w:cstheme="minorHAnsi"/>
          <w:szCs w:val="24"/>
        </w:rPr>
        <w:t>aminoglycoside therapy</w:t>
      </w:r>
      <w:r w:rsidR="001F70FA">
        <w:rPr>
          <w:rFonts w:asciiTheme="minorHAnsi" w:hAnsiTheme="minorHAnsi" w:cstheme="minorHAnsi"/>
          <w:szCs w:val="24"/>
        </w:rPr>
        <w:t xml:space="preserve"> for the treatment of </w:t>
      </w:r>
      <w:r w:rsidR="00125E74">
        <w:rPr>
          <w:rFonts w:asciiTheme="minorHAnsi" w:hAnsiTheme="minorHAnsi" w:cstheme="minorHAnsi"/>
          <w:szCs w:val="24"/>
        </w:rPr>
        <w:t xml:space="preserve">systemic </w:t>
      </w:r>
      <w:r>
        <w:rPr>
          <w:rFonts w:asciiTheme="minorHAnsi" w:hAnsiTheme="minorHAnsi" w:cstheme="minorHAnsi"/>
          <w:szCs w:val="24"/>
        </w:rPr>
        <w:t>infection</w:t>
      </w:r>
      <w:r w:rsidR="001F70FA">
        <w:rPr>
          <w:rFonts w:asciiTheme="minorHAnsi" w:hAnsiTheme="minorHAnsi" w:cstheme="minorHAnsi"/>
          <w:szCs w:val="24"/>
        </w:rPr>
        <w:t xml:space="preserve"> at </w:t>
      </w:r>
      <w:r w:rsidR="001F70FA" w:rsidRPr="0048414C">
        <w:rPr>
          <w:rFonts w:asciiTheme="minorHAnsi" w:hAnsiTheme="minorHAnsi" w:cstheme="minorHAnsi"/>
          <w:szCs w:val="24"/>
        </w:rPr>
        <w:t>Canberra Health Services</w:t>
      </w:r>
      <w:r w:rsidR="00161D7D">
        <w:rPr>
          <w:rFonts w:asciiTheme="minorHAnsi" w:hAnsiTheme="minorHAnsi" w:cstheme="minorHAnsi"/>
          <w:szCs w:val="24"/>
        </w:rPr>
        <w:t xml:space="preserve"> (CHS)</w:t>
      </w:r>
      <w:r w:rsidR="001F70FA" w:rsidRPr="0048414C">
        <w:rPr>
          <w:rFonts w:asciiTheme="minorHAnsi" w:hAnsiTheme="minorHAnsi" w:cstheme="minorHAnsi"/>
          <w:szCs w:val="24"/>
        </w:rPr>
        <w:t>.</w:t>
      </w:r>
    </w:p>
    <w:p w14:paraId="059323EE" w14:textId="77777777" w:rsidR="00032890" w:rsidRDefault="00032890" w:rsidP="006019FE">
      <w:pPr>
        <w:jc w:val="both"/>
        <w:rPr>
          <w:rFonts w:ascii="Calibri" w:hAnsi="Calibri" w:cs="Arial"/>
          <w:szCs w:val="24"/>
        </w:rPr>
      </w:pPr>
    </w:p>
    <w:p w14:paraId="2FC0DA56" w14:textId="4931BD46" w:rsidR="007C6707" w:rsidRPr="00032890" w:rsidRDefault="00CE5172" w:rsidP="007C6707">
      <w:pPr>
        <w:jc w:val="right"/>
        <w:rPr>
          <w:rFonts w:ascii="Calibri" w:hAnsi="Calibri" w:cs="Arial"/>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032890" w:rsidRPr="001B2BAC" w14:paraId="47BD2F0F" w14:textId="77777777" w:rsidTr="007C6707">
        <w:trPr>
          <w:cantSplit/>
          <w:trHeight w:val="285"/>
        </w:trPr>
        <w:tc>
          <w:tcPr>
            <w:tcW w:w="9158" w:type="dxa"/>
            <w:shd w:val="clear" w:color="auto" w:fill="CCCCCC"/>
          </w:tcPr>
          <w:p w14:paraId="78D613A9" w14:textId="77777777" w:rsidR="00032890" w:rsidRPr="001502DF" w:rsidRDefault="00032890" w:rsidP="007C6707">
            <w:pPr>
              <w:pStyle w:val="Heading1"/>
              <w:framePr w:hSpace="0" w:wrap="auto" w:vAnchor="margin" w:hAnchor="text" w:xAlign="left" w:yAlign="inline"/>
            </w:pPr>
            <w:bookmarkStart w:id="2" w:name="_Toc38371894"/>
            <w:r w:rsidRPr="001502DF">
              <w:t>Scope</w:t>
            </w:r>
            <w:bookmarkEnd w:id="2"/>
          </w:p>
        </w:tc>
      </w:tr>
    </w:tbl>
    <w:p w14:paraId="3FC3253F" w14:textId="77777777" w:rsidR="00032890" w:rsidRDefault="00032890" w:rsidP="00032890">
      <w:pPr>
        <w:jc w:val="both"/>
        <w:rPr>
          <w:rFonts w:ascii="Calibri" w:hAnsi="Calibri" w:cs="Arial"/>
          <w:b/>
          <w:szCs w:val="24"/>
        </w:rPr>
      </w:pPr>
    </w:p>
    <w:p w14:paraId="3C78B0B6" w14:textId="7A657143" w:rsidR="00257783" w:rsidRDefault="001F70FA" w:rsidP="001F70FA">
      <w:pPr>
        <w:rPr>
          <w:rFonts w:asciiTheme="minorHAnsi" w:hAnsiTheme="minorHAnsi" w:cstheme="minorHAnsi"/>
          <w:szCs w:val="24"/>
        </w:rPr>
      </w:pPr>
      <w:r w:rsidRPr="0048414C">
        <w:rPr>
          <w:rFonts w:asciiTheme="minorHAnsi" w:hAnsiTheme="minorHAnsi" w:cstheme="minorHAnsi"/>
          <w:szCs w:val="24"/>
        </w:rPr>
        <w:t xml:space="preserve">All approved </w:t>
      </w:r>
      <w:r w:rsidR="0074083A">
        <w:rPr>
          <w:rFonts w:asciiTheme="minorHAnsi" w:hAnsiTheme="minorHAnsi" w:cstheme="minorHAnsi"/>
          <w:szCs w:val="24"/>
        </w:rPr>
        <w:t>Canberra Health Services (CHS)</w:t>
      </w:r>
      <w:r w:rsidRPr="0048414C">
        <w:rPr>
          <w:rFonts w:asciiTheme="minorHAnsi" w:hAnsiTheme="minorHAnsi" w:cstheme="minorHAnsi"/>
          <w:szCs w:val="24"/>
        </w:rPr>
        <w:t xml:space="preserve"> staff worki</w:t>
      </w:r>
      <w:r w:rsidR="00B14633">
        <w:rPr>
          <w:rFonts w:asciiTheme="minorHAnsi" w:hAnsiTheme="minorHAnsi" w:cstheme="minorHAnsi"/>
          <w:szCs w:val="24"/>
        </w:rPr>
        <w:t>ng within their scope of practic</w:t>
      </w:r>
      <w:r w:rsidRPr="0048414C">
        <w:rPr>
          <w:rFonts w:asciiTheme="minorHAnsi" w:hAnsiTheme="minorHAnsi" w:cstheme="minorHAnsi"/>
          <w:szCs w:val="24"/>
        </w:rPr>
        <w:t>e that prescribe, administer</w:t>
      </w:r>
      <w:r w:rsidR="005C07D4">
        <w:rPr>
          <w:rFonts w:asciiTheme="minorHAnsi" w:hAnsiTheme="minorHAnsi" w:cstheme="minorHAnsi"/>
          <w:szCs w:val="24"/>
        </w:rPr>
        <w:t xml:space="preserve">, monitor </w:t>
      </w:r>
      <w:r w:rsidRPr="0048414C">
        <w:rPr>
          <w:rFonts w:asciiTheme="minorHAnsi" w:hAnsiTheme="minorHAnsi" w:cstheme="minorHAnsi"/>
          <w:szCs w:val="24"/>
        </w:rPr>
        <w:t xml:space="preserve">or advise on the use of </w:t>
      </w:r>
      <w:r w:rsidR="004340DD">
        <w:rPr>
          <w:rFonts w:asciiTheme="minorHAnsi" w:hAnsiTheme="minorHAnsi" w:cstheme="minorHAnsi"/>
          <w:szCs w:val="24"/>
        </w:rPr>
        <w:t xml:space="preserve">intravenous aminoglycosides </w:t>
      </w:r>
      <w:r>
        <w:rPr>
          <w:rFonts w:asciiTheme="minorHAnsi" w:hAnsiTheme="minorHAnsi" w:cstheme="minorHAnsi"/>
          <w:szCs w:val="24"/>
        </w:rPr>
        <w:t xml:space="preserve">at </w:t>
      </w:r>
      <w:r w:rsidRPr="0048414C">
        <w:rPr>
          <w:rFonts w:asciiTheme="minorHAnsi" w:hAnsiTheme="minorHAnsi" w:cstheme="minorHAnsi"/>
          <w:szCs w:val="24"/>
        </w:rPr>
        <w:t>Canberra Hospital</w:t>
      </w:r>
      <w:r>
        <w:rPr>
          <w:rFonts w:asciiTheme="minorHAnsi" w:hAnsiTheme="minorHAnsi" w:cstheme="minorHAnsi"/>
          <w:szCs w:val="24"/>
        </w:rPr>
        <w:t xml:space="preserve"> and Health Services</w:t>
      </w:r>
      <w:r w:rsidRPr="0048414C">
        <w:rPr>
          <w:rFonts w:asciiTheme="minorHAnsi" w:hAnsiTheme="minorHAnsi" w:cstheme="minorHAnsi"/>
          <w:szCs w:val="24"/>
        </w:rPr>
        <w:t>.</w:t>
      </w:r>
      <w:r w:rsidR="005C07D4">
        <w:rPr>
          <w:rFonts w:asciiTheme="minorHAnsi" w:hAnsiTheme="minorHAnsi" w:cstheme="minorHAnsi"/>
          <w:szCs w:val="24"/>
        </w:rPr>
        <w:t xml:space="preserve"> </w:t>
      </w:r>
    </w:p>
    <w:p w14:paraId="7D201340" w14:textId="77777777" w:rsidR="00257783" w:rsidRDefault="00257783" w:rsidP="001F70FA">
      <w:pPr>
        <w:rPr>
          <w:rFonts w:asciiTheme="minorHAnsi" w:hAnsiTheme="minorHAnsi" w:cstheme="minorHAnsi"/>
          <w:szCs w:val="24"/>
        </w:rPr>
      </w:pPr>
    </w:p>
    <w:p w14:paraId="43BA9BF4" w14:textId="52F34C93" w:rsidR="007C6707" w:rsidRDefault="007C6707" w:rsidP="001F70FA">
      <w:pPr>
        <w:rPr>
          <w:rFonts w:asciiTheme="minorHAnsi" w:hAnsiTheme="minorHAnsi" w:cstheme="minorHAnsi"/>
          <w:szCs w:val="24"/>
        </w:rPr>
      </w:pPr>
      <w:r w:rsidRPr="0048414C">
        <w:rPr>
          <w:rFonts w:asciiTheme="minorHAnsi" w:hAnsiTheme="minorHAnsi" w:cstheme="minorHAnsi"/>
          <w:szCs w:val="24"/>
        </w:rPr>
        <w:t xml:space="preserve">Approved </w:t>
      </w:r>
      <w:r>
        <w:rPr>
          <w:rFonts w:asciiTheme="minorHAnsi" w:hAnsiTheme="minorHAnsi" w:cstheme="minorHAnsi"/>
          <w:szCs w:val="24"/>
        </w:rPr>
        <w:t>health professionals</w:t>
      </w:r>
      <w:r w:rsidRPr="0048414C">
        <w:rPr>
          <w:rFonts w:asciiTheme="minorHAnsi" w:hAnsiTheme="minorHAnsi" w:cstheme="minorHAnsi"/>
          <w:szCs w:val="24"/>
        </w:rPr>
        <w:t xml:space="preserve"> working within their scope of pr</w:t>
      </w:r>
      <w:r>
        <w:rPr>
          <w:rFonts w:asciiTheme="minorHAnsi" w:hAnsiTheme="minorHAnsi" w:cstheme="minorHAnsi"/>
          <w:szCs w:val="24"/>
        </w:rPr>
        <w:t xml:space="preserve">actice should </w:t>
      </w:r>
      <w:r w:rsidRPr="0048414C">
        <w:rPr>
          <w:rFonts w:asciiTheme="minorHAnsi" w:hAnsiTheme="minorHAnsi" w:cstheme="minorHAnsi"/>
          <w:szCs w:val="24"/>
        </w:rPr>
        <w:t xml:space="preserve">refer to the </w:t>
      </w:r>
      <w:r>
        <w:rPr>
          <w:rFonts w:asciiTheme="minorHAnsi" w:hAnsiTheme="minorHAnsi" w:cstheme="minorHAnsi"/>
          <w:szCs w:val="24"/>
        </w:rPr>
        <w:t xml:space="preserve">information in this document </w:t>
      </w:r>
      <w:r w:rsidRPr="0048414C">
        <w:rPr>
          <w:rFonts w:asciiTheme="minorHAnsi" w:hAnsiTheme="minorHAnsi" w:cstheme="minorHAnsi"/>
          <w:szCs w:val="24"/>
        </w:rPr>
        <w:t xml:space="preserve">for </w:t>
      </w:r>
      <w:r>
        <w:rPr>
          <w:rFonts w:asciiTheme="minorHAnsi" w:hAnsiTheme="minorHAnsi" w:cstheme="minorHAnsi"/>
          <w:szCs w:val="24"/>
        </w:rPr>
        <w:t xml:space="preserve">the </w:t>
      </w:r>
      <w:r w:rsidRPr="0048414C">
        <w:rPr>
          <w:rFonts w:asciiTheme="minorHAnsi" w:hAnsiTheme="minorHAnsi" w:cstheme="minorHAnsi"/>
          <w:szCs w:val="24"/>
        </w:rPr>
        <w:t>dosing, administration and monitoring</w:t>
      </w:r>
      <w:r>
        <w:rPr>
          <w:rFonts w:asciiTheme="minorHAnsi" w:hAnsiTheme="minorHAnsi" w:cstheme="minorHAnsi"/>
          <w:szCs w:val="24"/>
        </w:rPr>
        <w:t xml:space="preserve"> of aminoglycoside therapy</w:t>
      </w:r>
      <w:r w:rsidRPr="0048414C">
        <w:rPr>
          <w:rFonts w:asciiTheme="minorHAnsi" w:hAnsiTheme="minorHAnsi" w:cstheme="minorHAnsi"/>
          <w:szCs w:val="24"/>
        </w:rPr>
        <w:t>.</w:t>
      </w:r>
    </w:p>
    <w:p w14:paraId="5ACD74A0" w14:textId="77777777" w:rsidR="007C6707" w:rsidRDefault="007C6707" w:rsidP="001F70FA">
      <w:pPr>
        <w:rPr>
          <w:rFonts w:asciiTheme="minorHAnsi" w:hAnsiTheme="minorHAnsi" w:cstheme="minorHAnsi"/>
          <w:szCs w:val="24"/>
        </w:rPr>
      </w:pPr>
    </w:p>
    <w:p w14:paraId="528F75FC" w14:textId="77777777" w:rsidR="00E37B9E" w:rsidRPr="004070B8" w:rsidRDefault="00E37B9E" w:rsidP="001F70FA">
      <w:pPr>
        <w:rPr>
          <w:rFonts w:asciiTheme="minorHAnsi" w:hAnsiTheme="minorHAnsi" w:cstheme="minorHAnsi"/>
          <w:b/>
          <w:szCs w:val="24"/>
        </w:rPr>
      </w:pPr>
      <w:r>
        <w:rPr>
          <w:rFonts w:asciiTheme="minorHAnsi" w:hAnsiTheme="minorHAnsi" w:cstheme="minorHAnsi"/>
          <w:b/>
          <w:szCs w:val="24"/>
        </w:rPr>
        <w:t>Excl</w:t>
      </w:r>
      <w:r w:rsidR="00D150D3" w:rsidRPr="004070B8">
        <w:rPr>
          <w:rFonts w:asciiTheme="minorHAnsi" w:hAnsiTheme="minorHAnsi" w:cstheme="minorHAnsi"/>
          <w:b/>
          <w:szCs w:val="24"/>
        </w:rPr>
        <w:t>usions</w:t>
      </w:r>
    </w:p>
    <w:p w14:paraId="64AE2893" w14:textId="70AF01C9" w:rsidR="001F70FA" w:rsidRPr="00257783" w:rsidRDefault="005C07D4" w:rsidP="001F70FA">
      <w:pPr>
        <w:rPr>
          <w:rFonts w:asciiTheme="minorHAnsi" w:hAnsiTheme="minorHAnsi" w:cstheme="minorHAnsi"/>
          <w:szCs w:val="24"/>
        </w:rPr>
      </w:pPr>
      <w:r w:rsidRPr="00257783">
        <w:rPr>
          <w:rFonts w:asciiTheme="minorHAnsi" w:hAnsiTheme="minorHAnsi" w:cstheme="minorHAnsi"/>
          <w:szCs w:val="24"/>
        </w:rPr>
        <w:t>This</w:t>
      </w:r>
      <w:r w:rsidR="004340DD">
        <w:rPr>
          <w:rFonts w:asciiTheme="minorHAnsi" w:hAnsiTheme="minorHAnsi" w:cstheme="minorHAnsi"/>
          <w:szCs w:val="24"/>
        </w:rPr>
        <w:t xml:space="preserve"> procedure</w:t>
      </w:r>
      <w:r w:rsidRPr="00257783">
        <w:rPr>
          <w:rFonts w:asciiTheme="minorHAnsi" w:hAnsiTheme="minorHAnsi" w:cstheme="minorHAnsi"/>
          <w:szCs w:val="24"/>
        </w:rPr>
        <w:t xml:space="preserve"> does not apply to:</w:t>
      </w:r>
    </w:p>
    <w:p w14:paraId="4574C71C" w14:textId="764C276B" w:rsidR="005C07D4" w:rsidRPr="00257783" w:rsidRDefault="005C07D4" w:rsidP="005A2A5C">
      <w:pPr>
        <w:pStyle w:val="Header"/>
        <w:numPr>
          <w:ilvl w:val="0"/>
          <w:numId w:val="6"/>
        </w:numPr>
        <w:tabs>
          <w:tab w:val="clear" w:pos="4153"/>
          <w:tab w:val="clear" w:pos="8306"/>
        </w:tabs>
        <w:rPr>
          <w:rFonts w:asciiTheme="minorHAnsi" w:hAnsiTheme="minorHAnsi" w:cstheme="minorHAnsi"/>
          <w:szCs w:val="24"/>
        </w:rPr>
      </w:pPr>
      <w:r w:rsidRPr="00257783">
        <w:rPr>
          <w:rFonts w:asciiTheme="minorHAnsi" w:hAnsiTheme="minorHAnsi" w:cstheme="minorHAnsi"/>
          <w:szCs w:val="24"/>
        </w:rPr>
        <w:t xml:space="preserve">Routes of administration other than intravenous </w:t>
      </w:r>
      <w:proofErr w:type="spellStart"/>
      <w:r w:rsidRPr="00257783">
        <w:rPr>
          <w:rFonts w:asciiTheme="minorHAnsi" w:hAnsiTheme="minorHAnsi" w:cstheme="minorHAnsi"/>
          <w:szCs w:val="24"/>
        </w:rPr>
        <w:t>eg.</w:t>
      </w:r>
      <w:proofErr w:type="spellEnd"/>
      <w:r w:rsidRPr="00257783">
        <w:rPr>
          <w:rFonts w:asciiTheme="minorHAnsi" w:hAnsiTheme="minorHAnsi" w:cstheme="minorHAnsi"/>
          <w:szCs w:val="24"/>
        </w:rPr>
        <w:t xml:space="preserve"> inhaled</w:t>
      </w:r>
      <w:r w:rsidR="00E37B9E">
        <w:rPr>
          <w:rFonts w:asciiTheme="minorHAnsi" w:hAnsiTheme="minorHAnsi" w:cstheme="minorHAnsi"/>
          <w:szCs w:val="24"/>
        </w:rPr>
        <w:t xml:space="preserve">, </w:t>
      </w:r>
      <w:r w:rsidR="004340DD">
        <w:rPr>
          <w:rFonts w:asciiTheme="minorHAnsi" w:hAnsiTheme="minorHAnsi" w:cstheme="minorHAnsi"/>
          <w:szCs w:val="24"/>
        </w:rPr>
        <w:t xml:space="preserve">intra-peritoneal, </w:t>
      </w:r>
      <w:r w:rsidR="00E37B9E">
        <w:rPr>
          <w:rFonts w:asciiTheme="minorHAnsi" w:hAnsiTheme="minorHAnsi" w:cstheme="minorHAnsi"/>
          <w:szCs w:val="24"/>
        </w:rPr>
        <w:t>topical or implantation</w:t>
      </w:r>
    </w:p>
    <w:p w14:paraId="317C55EF" w14:textId="3F0770D6" w:rsidR="0078539E" w:rsidRDefault="0078539E" w:rsidP="005A2A5C">
      <w:pPr>
        <w:pStyle w:val="Header"/>
        <w:numPr>
          <w:ilvl w:val="0"/>
          <w:numId w:val="6"/>
        </w:numPr>
        <w:tabs>
          <w:tab w:val="clear" w:pos="4153"/>
          <w:tab w:val="clear" w:pos="8306"/>
        </w:tabs>
        <w:rPr>
          <w:rFonts w:asciiTheme="minorHAnsi" w:hAnsiTheme="minorHAnsi" w:cstheme="minorHAnsi"/>
          <w:szCs w:val="24"/>
        </w:rPr>
      </w:pPr>
      <w:r>
        <w:rPr>
          <w:rFonts w:asciiTheme="minorHAnsi" w:hAnsiTheme="minorHAnsi" w:cstheme="minorHAnsi"/>
          <w:szCs w:val="24"/>
        </w:rPr>
        <w:t>Paediatrics</w:t>
      </w:r>
      <w:r w:rsidR="00AF50CB">
        <w:rPr>
          <w:rFonts w:asciiTheme="minorHAnsi" w:hAnsiTheme="minorHAnsi" w:cstheme="minorHAnsi"/>
          <w:szCs w:val="24"/>
        </w:rPr>
        <w:t xml:space="preserve"> – see </w:t>
      </w:r>
      <w:hyperlink r:id="rId11" w:history="1">
        <w:r w:rsidR="00AF50CB" w:rsidRPr="00053FBB">
          <w:rPr>
            <w:rStyle w:val="Hyperlink"/>
            <w:rFonts w:asciiTheme="minorHAnsi" w:hAnsiTheme="minorHAnsi" w:cstheme="minorHAnsi"/>
            <w:szCs w:val="24"/>
          </w:rPr>
          <w:t>paediatric guidelines</w:t>
        </w:r>
      </w:hyperlink>
      <w:r w:rsidR="00AF50CB">
        <w:rPr>
          <w:rFonts w:asciiTheme="minorHAnsi" w:hAnsiTheme="minorHAnsi" w:cstheme="minorHAnsi"/>
          <w:szCs w:val="24"/>
        </w:rPr>
        <w:t xml:space="preserve"> </w:t>
      </w:r>
    </w:p>
    <w:p w14:paraId="01BEF738" w14:textId="77777777" w:rsidR="003E3941" w:rsidRDefault="003E3941" w:rsidP="004070B8">
      <w:pPr>
        <w:rPr>
          <w:rFonts w:ascii="Calibri" w:hAnsi="Calibri" w:cs="Arial"/>
          <w:szCs w:val="24"/>
        </w:rPr>
      </w:pPr>
    </w:p>
    <w:p w14:paraId="14370EF5" w14:textId="2EC28CB1" w:rsidR="007C6707" w:rsidRDefault="00CE5172" w:rsidP="007C6707">
      <w:pPr>
        <w:jc w:val="right"/>
        <w:rPr>
          <w:rFonts w:ascii="Calibri" w:hAnsi="Calibri" w:cs="Arial"/>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71C2C" w:rsidRPr="001B2BAC" w14:paraId="34FB3173" w14:textId="77777777" w:rsidTr="007C6707">
        <w:trPr>
          <w:cantSplit/>
          <w:trHeight w:val="285"/>
        </w:trPr>
        <w:tc>
          <w:tcPr>
            <w:tcW w:w="9158" w:type="dxa"/>
            <w:shd w:val="clear" w:color="auto" w:fill="CCCCCC"/>
          </w:tcPr>
          <w:p w14:paraId="161EC1BD" w14:textId="31263D69" w:rsidR="00A71C2C" w:rsidRPr="001502DF" w:rsidRDefault="007C6707" w:rsidP="007C6707">
            <w:pPr>
              <w:pStyle w:val="Heading1"/>
              <w:framePr w:hSpace="0" w:wrap="auto" w:vAnchor="margin" w:hAnchor="text" w:xAlign="left" w:yAlign="inline"/>
            </w:pPr>
            <w:bookmarkStart w:id="3" w:name="_Toc38371895"/>
            <w:r>
              <w:t>Alerts</w:t>
            </w:r>
            <w:bookmarkEnd w:id="3"/>
            <w:r w:rsidR="003F2A58">
              <w:t xml:space="preserve"> </w:t>
            </w:r>
          </w:p>
        </w:tc>
      </w:tr>
    </w:tbl>
    <w:p w14:paraId="23A4E5B1" w14:textId="77777777" w:rsidR="00AF50CB" w:rsidRDefault="00AF50CB" w:rsidP="00A71C2C">
      <w:pPr>
        <w:jc w:val="both"/>
        <w:rPr>
          <w:rFonts w:ascii="Calibri" w:hAnsi="Calibri" w:cs="Arial"/>
          <w:b/>
          <w:szCs w:val="24"/>
        </w:rPr>
      </w:pPr>
    </w:p>
    <w:p w14:paraId="3C7BC335" w14:textId="76190B27" w:rsidR="003D03B8" w:rsidRPr="007C6707" w:rsidRDefault="003D03B8" w:rsidP="005A2A5C">
      <w:pPr>
        <w:pStyle w:val="ListParagraph"/>
        <w:numPr>
          <w:ilvl w:val="0"/>
          <w:numId w:val="28"/>
        </w:numPr>
        <w:rPr>
          <w:rFonts w:asciiTheme="minorHAnsi" w:hAnsiTheme="minorHAnsi"/>
        </w:rPr>
      </w:pPr>
      <w:r w:rsidRPr="007C6707">
        <w:rPr>
          <w:rFonts w:asciiTheme="minorHAnsi" w:hAnsiTheme="minorHAnsi"/>
        </w:rPr>
        <w:t>Gentamicin and Tobramycin are “ORANGE” restricted antimicrobials: ID/AMS approval is required after 3 days of therapy</w:t>
      </w:r>
    </w:p>
    <w:p w14:paraId="5E8A7F6B" w14:textId="39CDDE44" w:rsidR="003D03B8" w:rsidRPr="007C6707" w:rsidRDefault="003D03B8" w:rsidP="005A2A5C">
      <w:pPr>
        <w:pStyle w:val="ListParagraph"/>
        <w:numPr>
          <w:ilvl w:val="0"/>
          <w:numId w:val="28"/>
        </w:numPr>
        <w:rPr>
          <w:rFonts w:asciiTheme="minorHAnsi" w:hAnsiTheme="minorHAnsi"/>
          <w:b/>
        </w:rPr>
      </w:pPr>
      <w:r w:rsidRPr="007C6707">
        <w:rPr>
          <w:rFonts w:asciiTheme="minorHAnsi" w:hAnsiTheme="minorHAnsi"/>
        </w:rPr>
        <w:t>Amikacin is a “RED” restricted antimicrobial: ID/AMS approval is required within the first 24 hours of prescription</w:t>
      </w:r>
    </w:p>
    <w:p w14:paraId="14B253F3" w14:textId="77777777" w:rsidR="003D03B8" w:rsidRDefault="003D03B8" w:rsidP="001F70FA">
      <w:pPr>
        <w:jc w:val="both"/>
        <w:rPr>
          <w:rFonts w:asciiTheme="minorHAnsi" w:hAnsiTheme="minorHAnsi" w:cstheme="minorHAnsi"/>
          <w:szCs w:val="24"/>
        </w:rPr>
      </w:pPr>
    </w:p>
    <w:p w14:paraId="29D49D5D" w14:textId="64A2A346" w:rsidR="007C6707" w:rsidRPr="0048414C" w:rsidRDefault="00CE5172" w:rsidP="007C6707">
      <w:pPr>
        <w:jc w:val="right"/>
        <w:rPr>
          <w:rFonts w:asciiTheme="minorHAnsi" w:hAnsiTheme="minorHAnsi" w:cstheme="minorHAnsi"/>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3D03B8" w:rsidRPr="001B2BAC" w14:paraId="17D4F69A" w14:textId="77777777" w:rsidTr="007C6707">
        <w:trPr>
          <w:cantSplit/>
          <w:trHeight w:val="285"/>
        </w:trPr>
        <w:tc>
          <w:tcPr>
            <w:tcW w:w="9158" w:type="dxa"/>
            <w:shd w:val="clear" w:color="auto" w:fill="CCCCCC"/>
          </w:tcPr>
          <w:p w14:paraId="63C85796" w14:textId="77777777" w:rsidR="003D03B8" w:rsidRPr="001502DF" w:rsidRDefault="003D03B8" w:rsidP="007C6707">
            <w:pPr>
              <w:pStyle w:val="Heading1"/>
              <w:framePr w:hSpace="0" w:wrap="auto" w:vAnchor="margin" w:hAnchor="text" w:xAlign="left" w:yAlign="inline"/>
            </w:pPr>
            <w:bookmarkStart w:id="4" w:name="_Toc38371896"/>
            <w:r>
              <w:t>Medication information</w:t>
            </w:r>
            <w:bookmarkEnd w:id="4"/>
            <w:r>
              <w:t xml:space="preserve"> </w:t>
            </w:r>
          </w:p>
        </w:tc>
      </w:tr>
    </w:tbl>
    <w:p w14:paraId="49C16794" w14:textId="5A9D845B" w:rsidR="001F70FA" w:rsidRDefault="003D03B8" w:rsidP="001F70FA">
      <w:pPr>
        <w:jc w:val="both"/>
        <w:rPr>
          <w:rFonts w:asciiTheme="minorHAnsi" w:hAnsiTheme="minorHAnsi" w:cstheme="minorHAnsi"/>
          <w:b/>
          <w:szCs w:val="24"/>
        </w:rPr>
      </w:pPr>
      <w:r>
        <w:rPr>
          <w:rFonts w:asciiTheme="minorHAnsi" w:hAnsiTheme="minorHAnsi" w:cstheme="minorHAnsi"/>
          <w:b/>
          <w:szCs w:val="24"/>
        </w:rPr>
        <w:br/>
        <w:t xml:space="preserve">Mechanism of action </w:t>
      </w:r>
    </w:p>
    <w:p w14:paraId="0066846B" w14:textId="05F87496" w:rsidR="00FB53D9" w:rsidRDefault="00EF024B" w:rsidP="004340DD">
      <w:pPr>
        <w:rPr>
          <w:rFonts w:asciiTheme="minorHAnsi" w:hAnsiTheme="minorHAnsi" w:cstheme="minorHAnsi"/>
          <w:szCs w:val="24"/>
        </w:rPr>
      </w:pPr>
      <w:r>
        <w:rPr>
          <w:rFonts w:asciiTheme="minorHAnsi" w:hAnsiTheme="minorHAnsi" w:cstheme="minorHAnsi"/>
          <w:szCs w:val="24"/>
        </w:rPr>
        <w:t>Aminoglycosides</w:t>
      </w:r>
      <w:r w:rsidR="004340DD">
        <w:rPr>
          <w:rFonts w:asciiTheme="minorHAnsi" w:hAnsiTheme="minorHAnsi" w:cstheme="minorHAnsi"/>
          <w:szCs w:val="24"/>
        </w:rPr>
        <w:t xml:space="preserve"> </w:t>
      </w:r>
      <w:r w:rsidR="00783176" w:rsidRPr="004340DD">
        <w:rPr>
          <w:rFonts w:asciiTheme="minorHAnsi" w:hAnsiTheme="minorHAnsi" w:cstheme="minorHAnsi"/>
          <w:szCs w:val="24"/>
        </w:rPr>
        <w:t xml:space="preserve">inhibit bacterial </w:t>
      </w:r>
      <w:r w:rsidR="004340DD">
        <w:rPr>
          <w:rFonts w:asciiTheme="minorHAnsi" w:hAnsiTheme="minorHAnsi" w:cstheme="minorHAnsi"/>
          <w:szCs w:val="24"/>
        </w:rPr>
        <w:t>protein synthesis by</w:t>
      </w:r>
      <w:r w:rsidR="007B4990" w:rsidRPr="004340DD">
        <w:rPr>
          <w:rFonts w:asciiTheme="minorHAnsi" w:hAnsiTheme="minorHAnsi" w:cstheme="minorHAnsi"/>
          <w:szCs w:val="24"/>
        </w:rPr>
        <w:t xml:space="preserve"> </w:t>
      </w:r>
      <w:r w:rsidR="00783176" w:rsidRPr="004340DD">
        <w:rPr>
          <w:rFonts w:asciiTheme="minorHAnsi" w:hAnsiTheme="minorHAnsi" w:cstheme="minorHAnsi"/>
          <w:szCs w:val="24"/>
        </w:rPr>
        <w:t xml:space="preserve">binding to a protein on the 30S subunit of bacterial ribosomes, resulting in </w:t>
      </w:r>
      <w:r w:rsidR="007B4990" w:rsidRPr="004340DD">
        <w:rPr>
          <w:rFonts w:asciiTheme="minorHAnsi" w:hAnsiTheme="minorHAnsi" w:cstheme="minorHAnsi"/>
          <w:szCs w:val="24"/>
        </w:rPr>
        <w:t>cell membrane damage</w:t>
      </w:r>
      <w:r w:rsidR="00257783" w:rsidRPr="004340DD">
        <w:rPr>
          <w:rFonts w:asciiTheme="minorHAnsi" w:hAnsiTheme="minorHAnsi" w:cstheme="minorHAnsi"/>
          <w:szCs w:val="24"/>
        </w:rPr>
        <w:t xml:space="preserve"> and</w:t>
      </w:r>
      <w:r w:rsidR="00604990" w:rsidRPr="004340DD">
        <w:rPr>
          <w:rFonts w:asciiTheme="minorHAnsi" w:hAnsiTheme="minorHAnsi" w:cstheme="minorHAnsi"/>
          <w:szCs w:val="24"/>
        </w:rPr>
        <w:t xml:space="preserve"> cell death</w:t>
      </w:r>
      <w:r w:rsidR="004340DD">
        <w:rPr>
          <w:rFonts w:asciiTheme="minorHAnsi" w:hAnsiTheme="minorHAnsi" w:cstheme="minorHAnsi"/>
          <w:szCs w:val="24"/>
        </w:rPr>
        <w:t>.</w:t>
      </w:r>
      <w:r w:rsidR="00783176" w:rsidRPr="004340DD">
        <w:rPr>
          <w:rFonts w:asciiTheme="minorHAnsi" w:hAnsiTheme="minorHAnsi" w:cstheme="minorHAnsi"/>
          <w:szCs w:val="24"/>
        </w:rPr>
        <w:t xml:space="preserve"> </w:t>
      </w:r>
    </w:p>
    <w:p w14:paraId="13F0C076" w14:textId="77777777" w:rsidR="007B4990" w:rsidRPr="008177DA" w:rsidRDefault="007B4990" w:rsidP="004340DD"/>
    <w:p w14:paraId="099B8EAD" w14:textId="77777777" w:rsidR="007C6707" w:rsidRDefault="007C6707">
      <w:pPr>
        <w:rPr>
          <w:rFonts w:asciiTheme="minorHAnsi" w:hAnsiTheme="minorHAnsi"/>
          <w:b/>
          <w:color w:val="000000"/>
          <w:szCs w:val="24"/>
        </w:rPr>
      </w:pPr>
      <w:r>
        <w:rPr>
          <w:rFonts w:asciiTheme="minorHAnsi" w:hAnsiTheme="minorHAnsi"/>
          <w:b/>
          <w:color w:val="000000"/>
          <w:szCs w:val="24"/>
        </w:rPr>
        <w:br w:type="page"/>
      </w:r>
    </w:p>
    <w:p w14:paraId="31F28E07" w14:textId="0B745989" w:rsidR="00FB53D9" w:rsidRDefault="00FB53D9" w:rsidP="00FB53D9">
      <w:pPr>
        <w:rPr>
          <w:rFonts w:asciiTheme="minorHAnsi" w:hAnsiTheme="minorHAnsi"/>
          <w:b/>
          <w:color w:val="000000"/>
          <w:szCs w:val="24"/>
        </w:rPr>
      </w:pPr>
      <w:r w:rsidRPr="00FB53D9">
        <w:rPr>
          <w:rFonts w:asciiTheme="minorHAnsi" w:hAnsiTheme="minorHAnsi"/>
          <w:b/>
          <w:color w:val="000000"/>
          <w:szCs w:val="24"/>
        </w:rPr>
        <w:lastRenderedPageBreak/>
        <w:t>Contraindications and Precautions</w:t>
      </w:r>
    </w:p>
    <w:p w14:paraId="3F1F0B70" w14:textId="379B4B76" w:rsidR="00FB53D9" w:rsidRPr="00F4614E" w:rsidRDefault="00FB53D9" w:rsidP="00FB53D9">
      <w:pPr>
        <w:rPr>
          <w:rFonts w:asciiTheme="minorHAnsi" w:hAnsiTheme="minorHAnsi"/>
          <w:color w:val="000000"/>
          <w:szCs w:val="24"/>
          <w:shd w:val="clear" w:color="auto" w:fill="FFFFFF"/>
        </w:rPr>
      </w:pPr>
      <w:r w:rsidRPr="00F4614E">
        <w:rPr>
          <w:rFonts w:asciiTheme="minorHAnsi" w:hAnsiTheme="minorHAnsi"/>
          <w:color w:val="000000"/>
          <w:szCs w:val="24"/>
        </w:rPr>
        <w:t xml:space="preserve">Renal impairment </w:t>
      </w:r>
      <w:r w:rsidRPr="00FB53D9">
        <w:rPr>
          <w:rFonts w:asciiTheme="minorHAnsi" w:hAnsiTheme="minorHAnsi"/>
          <w:color w:val="000000"/>
          <w:szCs w:val="24"/>
        </w:rPr>
        <w:t>is not</w:t>
      </w:r>
      <w:r w:rsidRPr="00F4614E">
        <w:rPr>
          <w:rFonts w:asciiTheme="minorHAnsi" w:hAnsiTheme="minorHAnsi"/>
          <w:color w:val="000000"/>
          <w:szCs w:val="24"/>
        </w:rPr>
        <w:t xml:space="preserve"> an absolute contraindication to aminoglycosides. F</w:t>
      </w:r>
      <w:r w:rsidRPr="00F4614E">
        <w:rPr>
          <w:rFonts w:asciiTheme="minorHAnsi" w:hAnsiTheme="minorHAnsi"/>
          <w:color w:val="000000"/>
          <w:szCs w:val="24"/>
          <w:shd w:val="clear" w:color="auto" w:fill="FFFFFF"/>
        </w:rPr>
        <w:t>or patients with renal impairment, a single dose of aminoglycoside</w:t>
      </w:r>
      <w:r>
        <w:rPr>
          <w:rFonts w:asciiTheme="minorHAnsi" w:hAnsiTheme="minorHAnsi"/>
          <w:color w:val="000000"/>
          <w:szCs w:val="24"/>
          <w:shd w:val="clear" w:color="auto" w:fill="FFFFFF"/>
        </w:rPr>
        <w:t>,</w:t>
      </w:r>
      <w:r w:rsidRPr="00F4614E">
        <w:rPr>
          <w:rFonts w:asciiTheme="minorHAnsi" w:hAnsiTheme="minorHAnsi"/>
          <w:color w:val="000000"/>
          <w:szCs w:val="24"/>
          <w:shd w:val="clear" w:color="auto" w:fill="FFFFFF"/>
        </w:rPr>
        <w:t xml:space="preserve"> with no subsequent doses, can be life-saving and is generally safe. If the patient may still require broad spectrum Gram-negative cover longer than 1 day, consultation with an Infectious Diseases Specialist or the Antimicrobial Stewardship Team is advisable. </w:t>
      </w:r>
    </w:p>
    <w:p w14:paraId="41ED1A3A" w14:textId="77777777" w:rsidR="00FB53D9" w:rsidRPr="00F4614E" w:rsidRDefault="00FB53D9" w:rsidP="00FB53D9">
      <w:pPr>
        <w:pStyle w:val="Default"/>
        <w:rPr>
          <w:rFonts w:asciiTheme="minorHAnsi" w:hAnsiTheme="minorHAnsi"/>
          <w:b/>
          <w:bCs/>
        </w:rPr>
      </w:pPr>
    </w:p>
    <w:p w14:paraId="0BF67821" w14:textId="77777777" w:rsidR="00FB53D9" w:rsidRPr="00F4614E" w:rsidRDefault="00FB53D9" w:rsidP="00FB53D9">
      <w:pPr>
        <w:pStyle w:val="Default"/>
        <w:rPr>
          <w:rFonts w:asciiTheme="minorHAnsi" w:hAnsiTheme="minorHAnsi"/>
          <w:b/>
        </w:rPr>
      </w:pPr>
      <w:r w:rsidRPr="00F4614E">
        <w:rPr>
          <w:rFonts w:asciiTheme="minorHAnsi" w:hAnsiTheme="minorHAnsi"/>
          <w:b/>
          <w:bCs/>
        </w:rPr>
        <w:t xml:space="preserve">Absolute Contraindications: </w:t>
      </w:r>
    </w:p>
    <w:p w14:paraId="096B4C01" w14:textId="77777777" w:rsidR="00FB53D9" w:rsidRPr="00F4614E" w:rsidRDefault="00FB53D9" w:rsidP="005A2A5C">
      <w:pPr>
        <w:pStyle w:val="Default"/>
        <w:numPr>
          <w:ilvl w:val="0"/>
          <w:numId w:val="20"/>
        </w:numPr>
        <w:rPr>
          <w:rFonts w:asciiTheme="minorHAnsi" w:hAnsiTheme="minorHAnsi"/>
        </w:rPr>
      </w:pPr>
      <w:r w:rsidRPr="00F4614E">
        <w:rPr>
          <w:rFonts w:asciiTheme="minorHAnsi" w:hAnsiTheme="minorHAnsi"/>
        </w:rPr>
        <w:t>Hypersensitivity to aminoglycosides</w:t>
      </w:r>
    </w:p>
    <w:p w14:paraId="278DE919" w14:textId="279E2859" w:rsidR="00FB53D9" w:rsidRPr="006A10D1" w:rsidRDefault="00FB53D9" w:rsidP="005A2A5C">
      <w:pPr>
        <w:pStyle w:val="Default"/>
        <w:numPr>
          <w:ilvl w:val="0"/>
          <w:numId w:val="20"/>
        </w:numPr>
        <w:rPr>
          <w:rFonts w:asciiTheme="minorHAnsi" w:hAnsiTheme="minorHAnsi"/>
        </w:rPr>
      </w:pPr>
      <w:r w:rsidRPr="006A10D1">
        <w:rPr>
          <w:rFonts w:asciiTheme="minorHAnsi" w:hAnsiTheme="minorHAnsi"/>
        </w:rPr>
        <w:t>Previous aminoglycoside-induced ototoxicity or nephrotoxicity</w:t>
      </w:r>
    </w:p>
    <w:p w14:paraId="39BA9E47" w14:textId="77777777" w:rsidR="006A10D1" w:rsidRDefault="006A10D1" w:rsidP="00FB53D9">
      <w:pPr>
        <w:pStyle w:val="Default"/>
        <w:rPr>
          <w:rFonts w:asciiTheme="minorHAnsi" w:hAnsiTheme="minorHAnsi"/>
          <w:b/>
          <w:bCs/>
        </w:rPr>
      </w:pPr>
    </w:p>
    <w:p w14:paraId="0A342E57" w14:textId="77777777" w:rsidR="00FB53D9" w:rsidRPr="00F4614E" w:rsidRDefault="00FB53D9" w:rsidP="00FB53D9">
      <w:pPr>
        <w:pStyle w:val="Default"/>
        <w:rPr>
          <w:rFonts w:asciiTheme="minorHAnsi" w:hAnsiTheme="minorHAnsi"/>
        </w:rPr>
      </w:pPr>
      <w:r w:rsidRPr="00F4614E">
        <w:rPr>
          <w:rFonts w:asciiTheme="minorHAnsi" w:hAnsiTheme="minorHAnsi"/>
          <w:b/>
          <w:bCs/>
        </w:rPr>
        <w:t>Precautions:</w:t>
      </w:r>
    </w:p>
    <w:p w14:paraId="0EE2734F" w14:textId="77777777" w:rsidR="00FB53D9" w:rsidRPr="00F4614E" w:rsidRDefault="00FB53D9" w:rsidP="005A2A5C">
      <w:pPr>
        <w:pStyle w:val="Default"/>
        <w:numPr>
          <w:ilvl w:val="0"/>
          <w:numId w:val="21"/>
        </w:numPr>
        <w:rPr>
          <w:rFonts w:asciiTheme="minorHAnsi" w:hAnsiTheme="minorHAnsi"/>
        </w:rPr>
      </w:pPr>
      <w:r w:rsidRPr="00F4614E">
        <w:rPr>
          <w:rFonts w:asciiTheme="minorHAnsi" w:hAnsiTheme="minorHAnsi"/>
        </w:rPr>
        <w:t>Renal impairment</w:t>
      </w:r>
    </w:p>
    <w:p w14:paraId="206E5DEA" w14:textId="77777777" w:rsidR="00FB53D9" w:rsidRPr="00F4614E" w:rsidRDefault="00FB53D9" w:rsidP="005A2A5C">
      <w:pPr>
        <w:pStyle w:val="Default"/>
        <w:numPr>
          <w:ilvl w:val="0"/>
          <w:numId w:val="29"/>
        </w:numPr>
        <w:rPr>
          <w:rFonts w:asciiTheme="minorHAnsi" w:hAnsiTheme="minorHAnsi"/>
        </w:rPr>
      </w:pPr>
      <w:r w:rsidRPr="00F4614E">
        <w:rPr>
          <w:rFonts w:asciiTheme="minorHAnsi" w:hAnsiTheme="minorHAnsi"/>
        </w:rPr>
        <w:t xml:space="preserve">Renal service should be consulted if patient’s Creatinine Clearance is less than 30mL/min for authorisation of further doses </w:t>
      </w:r>
    </w:p>
    <w:p w14:paraId="4515A709" w14:textId="77777777" w:rsidR="00FB53D9" w:rsidRPr="00F4614E" w:rsidRDefault="00FB53D9" w:rsidP="005A2A5C">
      <w:pPr>
        <w:pStyle w:val="Default"/>
        <w:numPr>
          <w:ilvl w:val="0"/>
          <w:numId w:val="21"/>
        </w:numPr>
        <w:rPr>
          <w:rFonts w:asciiTheme="minorHAnsi" w:hAnsiTheme="minorHAnsi"/>
        </w:rPr>
      </w:pPr>
      <w:r w:rsidRPr="00F4614E">
        <w:rPr>
          <w:rFonts w:asciiTheme="minorHAnsi" w:hAnsiTheme="minorHAnsi"/>
        </w:rPr>
        <w:t>Pre-existing hearing impairment</w:t>
      </w:r>
    </w:p>
    <w:p w14:paraId="6AB5D39E" w14:textId="77777777" w:rsidR="00FB53D9" w:rsidRPr="00F4614E" w:rsidRDefault="00FB53D9" w:rsidP="005A2A5C">
      <w:pPr>
        <w:pStyle w:val="Default"/>
        <w:numPr>
          <w:ilvl w:val="0"/>
          <w:numId w:val="21"/>
        </w:numPr>
        <w:rPr>
          <w:rFonts w:asciiTheme="minorHAnsi" w:hAnsiTheme="minorHAnsi"/>
        </w:rPr>
      </w:pPr>
      <w:r w:rsidRPr="00F4614E">
        <w:rPr>
          <w:rFonts w:asciiTheme="minorHAnsi" w:hAnsiTheme="minorHAnsi"/>
        </w:rPr>
        <w:t>Neuromuscular disease</w:t>
      </w:r>
    </w:p>
    <w:p w14:paraId="5C843BF3" w14:textId="77777777" w:rsidR="00FB53D9" w:rsidRPr="00F4614E" w:rsidRDefault="00FB53D9" w:rsidP="005A2A5C">
      <w:pPr>
        <w:pStyle w:val="Default"/>
        <w:numPr>
          <w:ilvl w:val="0"/>
          <w:numId w:val="21"/>
        </w:numPr>
        <w:rPr>
          <w:rFonts w:asciiTheme="minorHAnsi" w:hAnsiTheme="minorHAnsi"/>
        </w:rPr>
      </w:pPr>
      <w:r w:rsidRPr="00F4614E">
        <w:rPr>
          <w:rFonts w:asciiTheme="minorHAnsi" w:hAnsiTheme="minorHAnsi"/>
        </w:rPr>
        <w:t>Elderly</w:t>
      </w:r>
    </w:p>
    <w:p w14:paraId="70AD3033" w14:textId="4D00FB6F" w:rsidR="00FB53D9" w:rsidRPr="006A10D1" w:rsidRDefault="00FB53D9" w:rsidP="005A2A5C">
      <w:pPr>
        <w:pStyle w:val="Default"/>
        <w:numPr>
          <w:ilvl w:val="0"/>
          <w:numId w:val="21"/>
        </w:numPr>
        <w:jc w:val="both"/>
        <w:rPr>
          <w:rFonts w:asciiTheme="minorHAnsi" w:hAnsiTheme="minorHAnsi" w:cstheme="minorHAnsi"/>
          <w:b/>
        </w:rPr>
      </w:pPr>
      <w:r w:rsidRPr="006A10D1">
        <w:rPr>
          <w:rFonts w:asciiTheme="minorHAnsi" w:hAnsiTheme="minorHAnsi"/>
        </w:rPr>
        <w:t>Family history of aminoglycoside toxicity</w:t>
      </w:r>
    </w:p>
    <w:p w14:paraId="4756D22C" w14:textId="77777777" w:rsidR="006A10D1" w:rsidRDefault="006A10D1" w:rsidP="00617B64">
      <w:pPr>
        <w:jc w:val="both"/>
        <w:rPr>
          <w:rFonts w:asciiTheme="minorHAnsi" w:hAnsiTheme="minorHAnsi" w:cstheme="minorHAnsi"/>
          <w:b/>
          <w:szCs w:val="24"/>
        </w:rPr>
      </w:pPr>
    </w:p>
    <w:p w14:paraId="5C9BC5F4" w14:textId="15A23F41" w:rsidR="00617B64" w:rsidRPr="00576B9F" w:rsidRDefault="00617B64" w:rsidP="00617B64">
      <w:pPr>
        <w:jc w:val="both"/>
        <w:rPr>
          <w:rFonts w:asciiTheme="minorHAnsi" w:hAnsiTheme="minorHAnsi" w:cstheme="minorHAnsi"/>
          <w:b/>
          <w:szCs w:val="24"/>
        </w:rPr>
      </w:pPr>
      <w:r w:rsidRPr="00576B9F">
        <w:rPr>
          <w:rFonts w:asciiTheme="minorHAnsi" w:hAnsiTheme="minorHAnsi" w:cstheme="minorHAnsi"/>
          <w:b/>
          <w:szCs w:val="24"/>
        </w:rPr>
        <w:t>Presentation</w:t>
      </w:r>
    </w:p>
    <w:p w14:paraId="5F06146E" w14:textId="27C3E1B7" w:rsidR="00617B64" w:rsidRDefault="00617B64" w:rsidP="005A2A5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Gentamicin sulphate 40mg/mL solution for injection</w:t>
      </w:r>
    </w:p>
    <w:p w14:paraId="074AA44B" w14:textId="77777777" w:rsidR="00617B64" w:rsidRDefault="00617B64" w:rsidP="005A2A5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Tobramycin sulphate 40mg/mL solution for injection</w:t>
      </w:r>
    </w:p>
    <w:p w14:paraId="558D8D0A" w14:textId="77777777" w:rsidR="00617B64" w:rsidRDefault="00617B64" w:rsidP="005A2A5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Amikacin sulphate 250mg/mL solution for injection</w:t>
      </w:r>
    </w:p>
    <w:p w14:paraId="68C9CDA7" w14:textId="77777777" w:rsidR="006A10D1" w:rsidRDefault="006A10D1" w:rsidP="00617B64">
      <w:pPr>
        <w:rPr>
          <w:rFonts w:asciiTheme="minorHAnsi" w:hAnsiTheme="minorHAnsi" w:cstheme="minorHAnsi"/>
          <w:b/>
          <w:szCs w:val="24"/>
        </w:rPr>
      </w:pPr>
    </w:p>
    <w:p w14:paraId="2EDE0959" w14:textId="69E36E13" w:rsidR="00617B64" w:rsidRDefault="00617B64" w:rsidP="00617B64">
      <w:pPr>
        <w:rPr>
          <w:rFonts w:asciiTheme="minorHAnsi" w:hAnsiTheme="minorHAnsi" w:cstheme="minorHAnsi"/>
          <w:b/>
          <w:szCs w:val="24"/>
        </w:rPr>
      </w:pPr>
      <w:r w:rsidRPr="00F74AC4">
        <w:rPr>
          <w:rFonts w:asciiTheme="minorHAnsi" w:hAnsiTheme="minorHAnsi" w:cstheme="minorHAnsi"/>
          <w:b/>
          <w:szCs w:val="24"/>
        </w:rPr>
        <w:t>Interactions</w:t>
      </w:r>
    </w:p>
    <w:p w14:paraId="17197240" w14:textId="77777777" w:rsidR="00617B64" w:rsidRDefault="00617B64" w:rsidP="005A2A5C">
      <w:pPr>
        <w:pStyle w:val="ListParagraph"/>
        <w:numPr>
          <w:ilvl w:val="0"/>
          <w:numId w:val="3"/>
        </w:numPr>
        <w:rPr>
          <w:rFonts w:asciiTheme="minorHAnsi" w:hAnsiTheme="minorHAnsi" w:cstheme="minorHAnsi"/>
          <w:szCs w:val="24"/>
        </w:rPr>
      </w:pPr>
      <w:r>
        <w:rPr>
          <w:rFonts w:asciiTheme="minorHAnsi" w:hAnsiTheme="minorHAnsi" w:cstheme="minorHAnsi"/>
          <w:szCs w:val="24"/>
        </w:rPr>
        <w:t>Avoid concurrent administration with other nephrotoxic drugs</w:t>
      </w:r>
    </w:p>
    <w:p w14:paraId="4640CFB3" w14:textId="40B64EFB" w:rsidR="00617B64" w:rsidRDefault="00617B64" w:rsidP="005A2A5C">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Potent diuretics such as </w:t>
      </w:r>
      <w:r w:rsidR="006A10D1">
        <w:rPr>
          <w:rFonts w:asciiTheme="minorHAnsi" w:hAnsiTheme="minorHAnsi" w:cstheme="minorHAnsi"/>
          <w:szCs w:val="24"/>
        </w:rPr>
        <w:t xml:space="preserve">high dose </w:t>
      </w:r>
      <w:r>
        <w:rPr>
          <w:rFonts w:asciiTheme="minorHAnsi" w:hAnsiTheme="minorHAnsi" w:cstheme="minorHAnsi"/>
          <w:szCs w:val="24"/>
        </w:rPr>
        <w:t>frusemide may contribute to ototoxicity and may also cause alterations in serum and tissue concentrations</w:t>
      </w:r>
    </w:p>
    <w:p w14:paraId="3F6CE6AF" w14:textId="77777777" w:rsidR="00617B64" w:rsidRDefault="00617B64" w:rsidP="005A2A5C">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Neuromuscular blocking activity of some drugs, such as anaesthetic agents or opioid analgesics may be enhanced </w:t>
      </w:r>
    </w:p>
    <w:p w14:paraId="20E3808C" w14:textId="77777777" w:rsidR="006A10D1" w:rsidRDefault="006A10D1" w:rsidP="00617B64">
      <w:pPr>
        <w:spacing w:before="20"/>
        <w:rPr>
          <w:rFonts w:asciiTheme="minorHAnsi" w:hAnsiTheme="minorHAnsi" w:cstheme="minorHAnsi"/>
          <w:b/>
          <w:szCs w:val="24"/>
        </w:rPr>
      </w:pPr>
    </w:p>
    <w:p w14:paraId="1340DC3B" w14:textId="322F6BA3" w:rsidR="00617B64" w:rsidRPr="00576B9F" w:rsidRDefault="00617B64" w:rsidP="00617B64">
      <w:pPr>
        <w:spacing w:before="20"/>
        <w:rPr>
          <w:rFonts w:asciiTheme="minorHAnsi" w:hAnsiTheme="minorHAnsi" w:cstheme="minorHAnsi"/>
          <w:b/>
          <w:szCs w:val="24"/>
        </w:rPr>
      </w:pPr>
      <w:r w:rsidRPr="00576B9F">
        <w:rPr>
          <w:rFonts w:asciiTheme="minorHAnsi" w:hAnsiTheme="minorHAnsi" w:cstheme="minorHAnsi"/>
          <w:b/>
          <w:szCs w:val="24"/>
        </w:rPr>
        <w:t>Adverse Effects</w:t>
      </w:r>
    </w:p>
    <w:p w14:paraId="3A4D8D63" w14:textId="77777777" w:rsidR="00617B64" w:rsidRPr="00500046" w:rsidRDefault="00617B64" w:rsidP="005A2A5C">
      <w:pPr>
        <w:numPr>
          <w:ilvl w:val="0"/>
          <w:numId w:val="2"/>
        </w:numPr>
        <w:spacing w:before="20"/>
        <w:rPr>
          <w:rFonts w:asciiTheme="minorHAnsi" w:hAnsiTheme="minorHAnsi" w:cstheme="minorHAnsi"/>
          <w:szCs w:val="24"/>
        </w:rPr>
      </w:pPr>
      <w:r>
        <w:rPr>
          <w:rFonts w:asciiTheme="minorHAnsi" w:hAnsiTheme="minorHAnsi" w:cstheme="minorHAnsi"/>
          <w:bCs/>
          <w:iCs/>
          <w:szCs w:val="24"/>
        </w:rPr>
        <w:t>Nephrotoxicity (usually reversible)</w:t>
      </w:r>
    </w:p>
    <w:p w14:paraId="4C35F385" w14:textId="77777777" w:rsidR="00617B64" w:rsidRPr="007C6707" w:rsidRDefault="00617B64" w:rsidP="005A2A5C">
      <w:pPr>
        <w:pStyle w:val="ListParagraph"/>
        <w:numPr>
          <w:ilvl w:val="0"/>
          <w:numId w:val="30"/>
        </w:numPr>
        <w:spacing w:before="20"/>
        <w:rPr>
          <w:rFonts w:asciiTheme="minorHAnsi" w:hAnsiTheme="minorHAnsi" w:cstheme="minorHAnsi"/>
          <w:szCs w:val="24"/>
        </w:rPr>
      </w:pPr>
      <w:r w:rsidRPr="007C6707">
        <w:rPr>
          <w:rFonts w:asciiTheme="minorHAnsi" w:hAnsiTheme="minorHAnsi" w:cstheme="minorHAnsi"/>
          <w:bCs/>
          <w:iCs/>
          <w:szCs w:val="24"/>
        </w:rPr>
        <w:t>Gradual worsening of renal function, increasing creatinine and proteinuria</w:t>
      </w:r>
    </w:p>
    <w:p w14:paraId="4CCC0604" w14:textId="77777777" w:rsidR="00617B64" w:rsidRPr="007C6707" w:rsidRDefault="00617B64" w:rsidP="005A2A5C">
      <w:pPr>
        <w:pStyle w:val="ListParagraph"/>
        <w:numPr>
          <w:ilvl w:val="0"/>
          <w:numId w:val="30"/>
        </w:numPr>
        <w:spacing w:before="20"/>
        <w:rPr>
          <w:rFonts w:asciiTheme="minorHAnsi" w:hAnsiTheme="minorHAnsi" w:cstheme="minorHAnsi"/>
          <w:szCs w:val="24"/>
        </w:rPr>
      </w:pPr>
      <w:r w:rsidRPr="007C6707">
        <w:rPr>
          <w:rFonts w:asciiTheme="minorHAnsi" w:hAnsiTheme="minorHAnsi" w:cstheme="minorHAnsi"/>
          <w:bCs/>
          <w:iCs/>
          <w:szCs w:val="24"/>
        </w:rPr>
        <w:t xml:space="preserve">May present as acute tubular necrosis </w:t>
      </w:r>
    </w:p>
    <w:p w14:paraId="4A0F92FB" w14:textId="77777777" w:rsidR="00617B64" w:rsidRPr="007C6707" w:rsidRDefault="00617B64" w:rsidP="005A2A5C">
      <w:pPr>
        <w:pStyle w:val="ListParagraph"/>
        <w:numPr>
          <w:ilvl w:val="0"/>
          <w:numId w:val="30"/>
        </w:numPr>
        <w:spacing w:before="20"/>
        <w:rPr>
          <w:rFonts w:asciiTheme="minorHAnsi" w:hAnsiTheme="minorHAnsi" w:cstheme="minorHAnsi"/>
          <w:szCs w:val="24"/>
        </w:rPr>
      </w:pPr>
      <w:r w:rsidRPr="007C6707">
        <w:rPr>
          <w:rFonts w:asciiTheme="minorHAnsi" w:hAnsiTheme="minorHAnsi" w:cstheme="minorHAnsi"/>
          <w:bCs/>
          <w:iCs/>
          <w:szCs w:val="24"/>
        </w:rPr>
        <w:t>More common in patients with pre-existing renal impairment</w:t>
      </w:r>
    </w:p>
    <w:p w14:paraId="5286849E" w14:textId="56B887EB" w:rsidR="00617B64" w:rsidRPr="007C6707" w:rsidRDefault="00617B64" w:rsidP="005A2A5C">
      <w:pPr>
        <w:pStyle w:val="ListParagraph"/>
        <w:numPr>
          <w:ilvl w:val="0"/>
          <w:numId w:val="30"/>
        </w:numPr>
        <w:spacing w:before="20"/>
        <w:rPr>
          <w:rFonts w:asciiTheme="minorHAnsi" w:hAnsiTheme="minorHAnsi" w:cstheme="minorHAnsi"/>
          <w:szCs w:val="24"/>
        </w:rPr>
      </w:pPr>
      <w:r w:rsidRPr="007C6707">
        <w:rPr>
          <w:rFonts w:asciiTheme="minorHAnsi" w:hAnsiTheme="minorHAnsi" w:cstheme="minorHAnsi"/>
          <w:bCs/>
          <w:iCs/>
          <w:szCs w:val="24"/>
        </w:rPr>
        <w:t xml:space="preserve">Associated with </w:t>
      </w:r>
      <w:r w:rsidR="007D4CEC" w:rsidRPr="007C6707">
        <w:rPr>
          <w:rFonts w:asciiTheme="minorHAnsi" w:hAnsiTheme="minorHAnsi" w:cstheme="minorHAnsi"/>
          <w:bCs/>
          <w:iCs/>
          <w:szCs w:val="24"/>
        </w:rPr>
        <w:t>increased duration of therapy and large exposures</w:t>
      </w:r>
    </w:p>
    <w:p w14:paraId="2D00C4C8" w14:textId="55FE4445" w:rsidR="006A10D1" w:rsidRPr="007C6707" w:rsidRDefault="006A10D1" w:rsidP="005A2A5C">
      <w:pPr>
        <w:pStyle w:val="ListParagraph"/>
        <w:numPr>
          <w:ilvl w:val="0"/>
          <w:numId w:val="30"/>
        </w:numPr>
        <w:spacing w:before="20"/>
        <w:rPr>
          <w:rFonts w:asciiTheme="minorHAnsi" w:hAnsiTheme="minorHAnsi" w:cstheme="minorHAnsi"/>
          <w:szCs w:val="24"/>
        </w:rPr>
      </w:pPr>
      <w:r w:rsidRPr="007C6707">
        <w:rPr>
          <w:rFonts w:asciiTheme="minorHAnsi" w:hAnsiTheme="minorHAnsi" w:cstheme="minorHAnsi"/>
          <w:bCs/>
          <w:iCs/>
          <w:szCs w:val="24"/>
        </w:rPr>
        <w:t xml:space="preserve">See </w:t>
      </w:r>
      <w:hyperlink r:id="rId12" w:history="1">
        <w:r w:rsidR="003A1069" w:rsidRPr="00053FBB">
          <w:rPr>
            <w:rStyle w:val="Hyperlink"/>
            <w:rFonts w:asciiTheme="minorHAnsi" w:hAnsiTheme="minorHAnsi" w:cstheme="minorHAnsi"/>
            <w:szCs w:val="24"/>
          </w:rPr>
          <w:t>paediatric guidelines</w:t>
        </w:r>
      </w:hyperlink>
      <w:r w:rsidRPr="007C6707">
        <w:rPr>
          <w:rFonts w:asciiTheme="minorHAnsi" w:hAnsiTheme="minorHAnsi" w:cstheme="minorHAnsi"/>
          <w:bCs/>
          <w:iCs/>
          <w:szCs w:val="24"/>
        </w:rPr>
        <w:t xml:space="preserve"> for monitoring requirements </w:t>
      </w:r>
    </w:p>
    <w:p w14:paraId="0D9A8EA6" w14:textId="77777777" w:rsidR="00617B64" w:rsidRPr="00500046" w:rsidRDefault="00617B64" w:rsidP="005A2A5C">
      <w:pPr>
        <w:numPr>
          <w:ilvl w:val="0"/>
          <w:numId w:val="2"/>
        </w:numPr>
        <w:spacing w:before="20"/>
        <w:rPr>
          <w:rFonts w:asciiTheme="minorHAnsi" w:hAnsiTheme="minorHAnsi" w:cstheme="minorHAnsi"/>
          <w:szCs w:val="24"/>
        </w:rPr>
      </w:pPr>
      <w:r>
        <w:rPr>
          <w:rFonts w:asciiTheme="minorHAnsi" w:hAnsiTheme="minorHAnsi" w:cstheme="minorHAnsi"/>
          <w:bCs/>
          <w:iCs/>
          <w:szCs w:val="24"/>
        </w:rPr>
        <w:t>Ototoxicity (irreversible in approximately half of cases)</w:t>
      </w:r>
    </w:p>
    <w:p w14:paraId="7D5F2355" w14:textId="77777777" w:rsidR="00617B64" w:rsidRPr="007C6707" w:rsidRDefault="00617B64" w:rsidP="005A2A5C">
      <w:pPr>
        <w:pStyle w:val="ListParagraph"/>
        <w:numPr>
          <w:ilvl w:val="0"/>
          <w:numId w:val="30"/>
        </w:numPr>
        <w:spacing w:before="20"/>
        <w:rPr>
          <w:rFonts w:asciiTheme="minorHAnsi" w:hAnsiTheme="minorHAnsi" w:cstheme="minorHAnsi"/>
          <w:bCs/>
          <w:iCs/>
          <w:szCs w:val="24"/>
        </w:rPr>
      </w:pPr>
      <w:r w:rsidRPr="007C6707">
        <w:rPr>
          <w:rFonts w:asciiTheme="minorHAnsi" w:hAnsiTheme="minorHAnsi" w:cstheme="minorHAnsi"/>
          <w:bCs/>
          <w:iCs/>
          <w:szCs w:val="24"/>
        </w:rPr>
        <w:t>Nausea, vertigo</w:t>
      </w:r>
    </w:p>
    <w:p w14:paraId="45DB7A73" w14:textId="3374566D" w:rsidR="00617B64" w:rsidRPr="007C6707" w:rsidRDefault="00617B64" w:rsidP="005A2A5C">
      <w:pPr>
        <w:pStyle w:val="ListParagraph"/>
        <w:numPr>
          <w:ilvl w:val="0"/>
          <w:numId w:val="30"/>
        </w:numPr>
        <w:spacing w:before="20"/>
        <w:rPr>
          <w:rFonts w:asciiTheme="minorHAnsi" w:hAnsiTheme="minorHAnsi" w:cstheme="minorHAnsi"/>
          <w:bCs/>
          <w:iCs/>
          <w:szCs w:val="24"/>
        </w:rPr>
      </w:pPr>
      <w:r>
        <w:rPr>
          <w:rFonts w:asciiTheme="minorHAnsi" w:hAnsiTheme="minorHAnsi" w:cstheme="minorHAnsi"/>
          <w:bCs/>
          <w:iCs/>
          <w:szCs w:val="24"/>
        </w:rPr>
        <w:t>Tinnitus</w:t>
      </w:r>
    </w:p>
    <w:p w14:paraId="0FF57050" w14:textId="77777777" w:rsidR="00617B64" w:rsidRPr="007C6707" w:rsidRDefault="00617B64" w:rsidP="005A2A5C">
      <w:pPr>
        <w:pStyle w:val="ListParagraph"/>
        <w:numPr>
          <w:ilvl w:val="0"/>
          <w:numId w:val="30"/>
        </w:numPr>
        <w:spacing w:before="20"/>
        <w:rPr>
          <w:rFonts w:asciiTheme="minorHAnsi" w:hAnsiTheme="minorHAnsi" w:cstheme="minorHAnsi"/>
          <w:bCs/>
          <w:iCs/>
          <w:szCs w:val="24"/>
        </w:rPr>
      </w:pPr>
      <w:r>
        <w:rPr>
          <w:rFonts w:asciiTheme="minorHAnsi" w:hAnsiTheme="minorHAnsi" w:cstheme="minorHAnsi"/>
          <w:bCs/>
          <w:iCs/>
          <w:szCs w:val="24"/>
        </w:rPr>
        <w:t>High frequency hearing loss in up to 26% patients treated</w:t>
      </w:r>
    </w:p>
    <w:p w14:paraId="11245251" w14:textId="7EBA18B9" w:rsidR="006A10D1" w:rsidRPr="007C6707" w:rsidRDefault="006A10D1" w:rsidP="005A2A5C">
      <w:pPr>
        <w:pStyle w:val="ListParagraph"/>
        <w:numPr>
          <w:ilvl w:val="0"/>
          <w:numId w:val="30"/>
        </w:numPr>
        <w:spacing w:before="20"/>
        <w:rPr>
          <w:rFonts w:asciiTheme="minorHAnsi" w:hAnsiTheme="minorHAnsi" w:cstheme="minorHAnsi"/>
          <w:bCs/>
          <w:iCs/>
          <w:szCs w:val="24"/>
        </w:rPr>
      </w:pPr>
      <w:r w:rsidRPr="007139E0">
        <w:rPr>
          <w:rFonts w:asciiTheme="minorHAnsi" w:hAnsiTheme="minorHAnsi" w:cstheme="minorHAnsi"/>
          <w:bCs/>
          <w:iCs/>
          <w:szCs w:val="24"/>
        </w:rPr>
        <w:t xml:space="preserve">See </w:t>
      </w:r>
      <w:hyperlink w:anchor="_Section_2.4._Clinical" w:history="1">
        <w:r w:rsidR="007139E0" w:rsidRPr="007139E0">
          <w:rPr>
            <w:rStyle w:val="Hyperlink"/>
            <w:rFonts w:asciiTheme="minorHAnsi" w:hAnsiTheme="minorHAnsi" w:cstheme="minorHAnsi"/>
            <w:bCs/>
            <w:iCs/>
            <w:szCs w:val="24"/>
          </w:rPr>
          <w:t>Section 2.4</w:t>
        </w:r>
      </w:hyperlink>
      <w:r w:rsidR="007139E0" w:rsidRPr="007139E0">
        <w:rPr>
          <w:rFonts w:asciiTheme="minorHAnsi" w:hAnsiTheme="minorHAnsi" w:cstheme="minorHAnsi"/>
          <w:bCs/>
          <w:iCs/>
          <w:szCs w:val="24"/>
        </w:rPr>
        <w:t xml:space="preserve"> </w:t>
      </w:r>
      <w:r w:rsidRPr="007139E0">
        <w:rPr>
          <w:rFonts w:asciiTheme="minorHAnsi" w:hAnsiTheme="minorHAnsi" w:cstheme="minorHAnsi"/>
          <w:bCs/>
          <w:iCs/>
          <w:szCs w:val="24"/>
        </w:rPr>
        <w:t>for monitoring</w:t>
      </w:r>
      <w:r>
        <w:rPr>
          <w:rFonts w:asciiTheme="minorHAnsi" w:hAnsiTheme="minorHAnsi" w:cstheme="minorHAnsi"/>
          <w:bCs/>
          <w:iCs/>
          <w:szCs w:val="24"/>
        </w:rPr>
        <w:t xml:space="preserve"> requirements</w:t>
      </w:r>
    </w:p>
    <w:p w14:paraId="55E25B11" w14:textId="77777777" w:rsidR="00617B64" w:rsidRPr="00A00792" w:rsidRDefault="00617B64" w:rsidP="005A2A5C">
      <w:pPr>
        <w:numPr>
          <w:ilvl w:val="0"/>
          <w:numId w:val="2"/>
        </w:numPr>
        <w:spacing w:before="20"/>
        <w:rPr>
          <w:rFonts w:asciiTheme="minorHAnsi" w:hAnsiTheme="minorHAnsi" w:cstheme="minorHAnsi"/>
          <w:szCs w:val="24"/>
        </w:rPr>
      </w:pPr>
      <w:r>
        <w:rPr>
          <w:rFonts w:asciiTheme="minorHAnsi" w:hAnsiTheme="minorHAnsi" w:cstheme="minorHAnsi"/>
          <w:bCs/>
          <w:iCs/>
          <w:szCs w:val="24"/>
        </w:rPr>
        <w:lastRenderedPageBreak/>
        <w:t>Neuromuscular blockade</w:t>
      </w:r>
    </w:p>
    <w:p w14:paraId="67CC893E" w14:textId="77777777" w:rsidR="00617B64" w:rsidRPr="007C6707" w:rsidRDefault="00617B64" w:rsidP="005A2A5C">
      <w:pPr>
        <w:pStyle w:val="ListParagraph"/>
        <w:numPr>
          <w:ilvl w:val="0"/>
          <w:numId w:val="30"/>
        </w:numPr>
        <w:spacing w:before="20"/>
        <w:rPr>
          <w:rFonts w:asciiTheme="minorHAnsi" w:hAnsiTheme="minorHAnsi" w:cstheme="minorHAnsi"/>
          <w:bCs/>
          <w:iCs/>
          <w:szCs w:val="24"/>
        </w:rPr>
      </w:pPr>
      <w:r>
        <w:rPr>
          <w:rFonts w:asciiTheme="minorHAnsi" w:hAnsiTheme="minorHAnsi" w:cstheme="minorHAnsi"/>
          <w:bCs/>
          <w:iCs/>
          <w:szCs w:val="24"/>
        </w:rPr>
        <w:t>May result in respiratory depression</w:t>
      </w:r>
    </w:p>
    <w:p w14:paraId="17064BED" w14:textId="77777777" w:rsidR="00617B64" w:rsidRDefault="00617B64">
      <w:pPr>
        <w:rPr>
          <w:rFonts w:asciiTheme="minorHAnsi" w:hAnsiTheme="minorHAnsi" w:cstheme="minorHAnsi"/>
          <w:szCs w:val="24"/>
        </w:rPr>
      </w:pPr>
    </w:p>
    <w:p w14:paraId="23D3AABF" w14:textId="0A4A1AA3" w:rsidR="007C6707" w:rsidRDefault="00CE5172" w:rsidP="007C6707">
      <w:pPr>
        <w:jc w:val="right"/>
        <w:rPr>
          <w:rFonts w:asciiTheme="minorHAnsi" w:hAnsiTheme="minorHAnsi" w:cstheme="minorHAnsi"/>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17B64" w:rsidRPr="001B2BAC" w14:paraId="217798BF" w14:textId="77777777" w:rsidTr="007C6707">
        <w:trPr>
          <w:cantSplit/>
          <w:trHeight w:val="285"/>
        </w:trPr>
        <w:tc>
          <w:tcPr>
            <w:tcW w:w="9158" w:type="dxa"/>
            <w:shd w:val="clear" w:color="auto" w:fill="CCCCCC"/>
          </w:tcPr>
          <w:p w14:paraId="355F3B6D" w14:textId="77777777" w:rsidR="00617B64" w:rsidRPr="001502DF" w:rsidRDefault="00617B64" w:rsidP="007C6707">
            <w:pPr>
              <w:pStyle w:val="Heading1"/>
              <w:framePr w:hSpace="0" w:wrap="auto" w:vAnchor="margin" w:hAnchor="text" w:xAlign="left" w:yAlign="inline"/>
            </w:pPr>
            <w:bookmarkStart w:id="5" w:name="_Toc38371897"/>
            <w:r>
              <w:t>Section 1: Prescribing the initial dose</w:t>
            </w:r>
            <w:bookmarkEnd w:id="5"/>
          </w:p>
        </w:tc>
      </w:tr>
    </w:tbl>
    <w:p w14:paraId="15613320" w14:textId="77777777" w:rsidR="00617B64" w:rsidRDefault="00617B64">
      <w:pPr>
        <w:rPr>
          <w:rFonts w:asciiTheme="minorHAnsi" w:hAnsiTheme="minorHAnsi" w:cstheme="minorHAnsi"/>
          <w:b/>
          <w:szCs w:val="24"/>
        </w:rPr>
      </w:pPr>
    </w:p>
    <w:p w14:paraId="21592A4F" w14:textId="4D2E9472" w:rsidR="00617B64" w:rsidRDefault="00617B64" w:rsidP="004070B8">
      <w:pPr>
        <w:rPr>
          <w:rFonts w:asciiTheme="minorHAnsi" w:hAnsiTheme="minorHAnsi"/>
        </w:rPr>
      </w:pPr>
      <w:r w:rsidRPr="004070B8">
        <w:rPr>
          <w:rFonts w:asciiTheme="minorHAnsi" w:hAnsiTheme="minorHAnsi"/>
        </w:rPr>
        <w:t xml:space="preserve">Empiric </w:t>
      </w:r>
      <w:r w:rsidR="00157BBA">
        <w:rPr>
          <w:rFonts w:asciiTheme="minorHAnsi" w:hAnsiTheme="minorHAnsi"/>
        </w:rPr>
        <w:t>aminoglycoside dosing</w:t>
      </w:r>
      <w:r w:rsidRPr="004070B8">
        <w:rPr>
          <w:rFonts w:asciiTheme="minorHAnsi" w:hAnsiTheme="minorHAnsi"/>
        </w:rPr>
        <w:t xml:space="preserve"> is dependent on the patient group and the clinical indication</w:t>
      </w:r>
      <w:r w:rsidR="00157BBA">
        <w:rPr>
          <w:rFonts w:asciiTheme="minorHAnsi" w:hAnsiTheme="minorHAnsi"/>
        </w:rPr>
        <w:t xml:space="preserve">. Aside from the special patient considerations listed below, the majority of patients will be managed as per Section </w:t>
      </w:r>
      <w:hyperlink w:anchor="_Section_1.1:_Standard" w:history="1">
        <w:r w:rsidR="007139E0" w:rsidRPr="00157BBA">
          <w:rPr>
            <w:rStyle w:val="Hyperlink"/>
            <w:rFonts w:asciiTheme="minorHAnsi" w:hAnsiTheme="minorHAnsi"/>
          </w:rPr>
          <w:t>1.1</w:t>
        </w:r>
      </w:hyperlink>
      <w:r w:rsidR="007139E0">
        <w:rPr>
          <w:rFonts w:asciiTheme="minorHAnsi" w:hAnsiTheme="minorHAnsi"/>
        </w:rPr>
        <w:t xml:space="preserve"> and </w:t>
      </w:r>
      <w:hyperlink w:anchor="_Section_1.2:_Standard" w:history="1">
        <w:r w:rsidR="007139E0" w:rsidRPr="00157BBA">
          <w:rPr>
            <w:rStyle w:val="Hyperlink"/>
            <w:rFonts w:asciiTheme="minorHAnsi" w:hAnsiTheme="minorHAnsi"/>
          </w:rPr>
          <w:t>1.2</w:t>
        </w:r>
      </w:hyperlink>
      <w:r w:rsidR="007139E0">
        <w:rPr>
          <w:rFonts w:asciiTheme="minorHAnsi" w:hAnsiTheme="minorHAnsi"/>
        </w:rPr>
        <w:t xml:space="preserve"> </w:t>
      </w:r>
      <w:r w:rsidR="00157BBA">
        <w:rPr>
          <w:rFonts w:asciiTheme="minorHAnsi" w:hAnsiTheme="minorHAnsi"/>
        </w:rPr>
        <w:t xml:space="preserve">(Standard dosing for gentamicin/tobramycin and amikacin).  </w:t>
      </w:r>
    </w:p>
    <w:p w14:paraId="64248980" w14:textId="77777777" w:rsidR="006F2C41" w:rsidRDefault="006F2C41" w:rsidP="006F2C41">
      <w:pPr>
        <w:rPr>
          <w:rFonts w:asciiTheme="minorHAnsi" w:hAnsiTheme="minorHAnsi"/>
        </w:rPr>
      </w:pPr>
    </w:p>
    <w:p w14:paraId="2FA1C25D" w14:textId="2113345D" w:rsidR="006F2C41" w:rsidRPr="006F2C41" w:rsidRDefault="006F2C41" w:rsidP="005A2A5C">
      <w:pPr>
        <w:rPr>
          <w:rFonts w:asciiTheme="minorHAnsi" w:hAnsiTheme="minorHAnsi"/>
          <w:b/>
        </w:rPr>
      </w:pPr>
      <w:r w:rsidRPr="006F2C41">
        <w:rPr>
          <w:rFonts w:asciiTheme="minorHAnsi" w:hAnsiTheme="minorHAnsi"/>
          <w:b/>
        </w:rPr>
        <w:t>Intra-operative surgical prophylaxis</w:t>
      </w:r>
    </w:p>
    <w:p w14:paraId="68BBEADC" w14:textId="5CEEBEA9" w:rsidR="006F2C41" w:rsidRDefault="006F2C41" w:rsidP="006F2C41">
      <w:pPr>
        <w:rPr>
          <w:rFonts w:asciiTheme="minorHAnsi" w:hAnsiTheme="minorHAnsi"/>
        </w:rPr>
      </w:pPr>
      <w:r>
        <w:rPr>
          <w:rFonts w:asciiTheme="minorHAnsi" w:hAnsiTheme="minorHAnsi"/>
        </w:rPr>
        <w:t>Dosing for this indication is dependent on the surgical procedure and may vary from the doses recommended in this document. Refer to Therapeutic Guidelines: Antibiotic for more information.</w:t>
      </w:r>
    </w:p>
    <w:p w14:paraId="2C81B77A" w14:textId="77777777" w:rsidR="005D7AB2" w:rsidRDefault="005D7AB2" w:rsidP="006F2C41">
      <w:pPr>
        <w:rPr>
          <w:rFonts w:asciiTheme="minorHAnsi" w:hAnsiTheme="minorHAnsi"/>
        </w:rPr>
      </w:pPr>
    </w:p>
    <w:p w14:paraId="05E44E67" w14:textId="3F1B1E78" w:rsidR="00434D90" w:rsidRDefault="00434D90" w:rsidP="00434D90">
      <w:pPr>
        <w:spacing w:after="120"/>
        <w:rPr>
          <w:rFonts w:asciiTheme="minorHAnsi" w:hAnsiTheme="minorHAnsi"/>
          <w:b/>
        </w:rPr>
      </w:pPr>
      <w:r>
        <w:rPr>
          <w:rFonts w:asciiTheme="minorHAnsi" w:hAnsiTheme="minorHAnsi"/>
          <w:b/>
        </w:rPr>
        <w:t>Special patient considerations: pregnancy,</w:t>
      </w:r>
      <w:r w:rsidRPr="00434D90">
        <w:rPr>
          <w:rFonts w:asciiTheme="minorHAnsi" w:hAnsiTheme="minorHAnsi"/>
          <w:b/>
        </w:rPr>
        <w:t xml:space="preserve"> </w:t>
      </w:r>
      <w:r>
        <w:rPr>
          <w:rFonts w:asciiTheme="minorHAnsi" w:hAnsiTheme="minorHAnsi"/>
          <w:b/>
        </w:rPr>
        <w:t>c</w:t>
      </w:r>
      <w:r w:rsidRPr="00434D90">
        <w:rPr>
          <w:rFonts w:asciiTheme="minorHAnsi" w:hAnsiTheme="minorHAnsi"/>
          <w:b/>
        </w:rPr>
        <w:t xml:space="preserve">ystic </w:t>
      </w:r>
      <w:r>
        <w:rPr>
          <w:rFonts w:asciiTheme="minorHAnsi" w:hAnsiTheme="minorHAnsi"/>
          <w:b/>
        </w:rPr>
        <w:t>f</w:t>
      </w:r>
      <w:r w:rsidRPr="00434D90">
        <w:rPr>
          <w:rFonts w:asciiTheme="minorHAnsi" w:hAnsiTheme="minorHAnsi"/>
          <w:b/>
        </w:rPr>
        <w:t xml:space="preserve">ibrosis, </w:t>
      </w:r>
      <w:r>
        <w:rPr>
          <w:rFonts w:asciiTheme="minorHAnsi" w:hAnsiTheme="minorHAnsi"/>
          <w:b/>
        </w:rPr>
        <w:t>m</w:t>
      </w:r>
      <w:r w:rsidRPr="00434D90">
        <w:rPr>
          <w:rFonts w:asciiTheme="minorHAnsi" w:hAnsiTheme="minorHAnsi"/>
          <w:b/>
        </w:rPr>
        <w:t xml:space="preserve">ycobacterial infections and </w:t>
      </w:r>
      <w:r>
        <w:rPr>
          <w:rFonts w:asciiTheme="minorHAnsi" w:hAnsiTheme="minorHAnsi"/>
          <w:b/>
        </w:rPr>
        <w:t>e</w:t>
      </w:r>
      <w:r w:rsidRPr="00434D90">
        <w:rPr>
          <w:rFonts w:asciiTheme="minorHAnsi" w:hAnsiTheme="minorHAnsi"/>
          <w:b/>
        </w:rPr>
        <w:t>ndocarditis</w:t>
      </w:r>
    </w:p>
    <w:p w14:paraId="3A24F044" w14:textId="2C52167F" w:rsidR="00434D90" w:rsidRDefault="00434D90" w:rsidP="006F2C41">
      <w:pPr>
        <w:rPr>
          <w:rFonts w:asciiTheme="minorHAnsi" w:hAnsiTheme="minorHAnsi"/>
        </w:rPr>
      </w:pPr>
      <w:r>
        <w:rPr>
          <w:rFonts w:asciiTheme="minorHAnsi" w:hAnsiTheme="minorHAnsi"/>
        </w:rPr>
        <w:t xml:space="preserve">These indications have unique dosing recommendations, please refer to </w:t>
      </w:r>
      <w:r w:rsidR="0050780F">
        <w:rPr>
          <w:rFonts w:asciiTheme="minorHAnsi" w:hAnsiTheme="minorHAnsi"/>
        </w:rPr>
        <w:t xml:space="preserve"> </w:t>
      </w:r>
      <w:hyperlink w:anchor="_Section_1.3_–" w:history="1">
        <w:r w:rsidR="0050780F" w:rsidRPr="00434D90">
          <w:rPr>
            <w:rStyle w:val="Hyperlink"/>
            <w:rFonts w:asciiTheme="minorHAnsi" w:hAnsiTheme="minorHAnsi"/>
          </w:rPr>
          <w:t>Section 1.3</w:t>
        </w:r>
      </w:hyperlink>
      <w:r w:rsidR="0050780F">
        <w:rPr>
          <w:rStyle w:val="Hyperlink"/>
          <w:rFonts w:asciiTheme="minorHAnsi" w:hAnsiTheme="minorHAnsi"/>
        </w:rPr>
        <w:t xml:space="preserve"> </w:t>
      </w:r>
      <w:r>
        <w:rPr>
          <w:rFonts w:asciiTheme="minorHAnsi" w:hAnsiTheme="minorHAnsi"/>
        </w:rPr>
        <w:t>for guidance.</w:t>
      </w:r>
    </w:p>
    <w:p w14:paraId="49EDDD57" w14:textId="77777777" w:rsidR="007C6707" w:rsidRPr="009E4D54" w:rsidRDefault="007C6707" w:rsidP="006F2C41">
      <w:pPr>
        <w:rPr>
          <w:rFonts w:asciiTheme="minorHAnsi" w:hAnsiTheme="minorHAnsi"/>
        </w:rPr>
      </w:pPr>
    </w:p>
    <w:p w14:paraId="74B8E57F" w14:textId="643D432B" w:rsidR="00617B64" w:rsidRPr="007C6707" w:rsidRDefault="00617B64" w:rsidP="007C6707">
      <w:pPr>
        <w:pStyle w:val="Heading2"/>
      </w:pPr>
      <w:bookmarkStart w:id="6" w:name="_Section_1.1:_Gentamicin/tobramycin"/>
      <w:bookmarkStart w:id="7" w:name="_Section_1.1:_Standard"/>
      <w:bookmarkStart w:id="8" w:name="_Toc38371898"/>
      <w:bookmarkEnd w:id="6"/>
      <w:bookmarkEnd w:id="7"/>
      <w:r w:rsidRPr="007C6707">
        <w:t xml:space="preserve">Section 1.1: </w:t>
      </w:r>
      <w:r w:rsidR="00157BBA" w:rsidRPr="007C6707">
        <w:t>Standard g</w:t>
      </w:r>
      <w:r w:rsidRPr="007C6707">
        <w:t>entamicin/tobramycin dosing</w:t>
      </w:r>
      <w:bookmarkEnd w:id="8"/>
      <w:r w:rsidRPr="007C6707">
        <w:t xml:space="preserve"> </w:t>
      </w:r>
    </w:p>
    <w:p w14:paraId="7449404E" w14:textId="77777777" w:rsidR="00617B64" w:rsidRDefault="00617B64" w:rsidP="005A2A5C">
      <w:pPr>
        <w:pStyle w:val="Header"/>
        <w:numPr>
          <w:ilvl w:val="0"/>
          <w:numId w:val="9"/>
        </w:numPr>
        <w:tabs>
          <w:tab w:val="clear" w:pos="4153"/>
          <w:tab w:val="clear" w:pos="8306"/>
        </w:tabs>
        <w:rPr>
          <w:rFonts w:asciiTheme="minorHAnsi" w:hAnsiTheme="minorHAnsi" w:cs="Calibri"/>
          <w:szCs w:val="24"/>
        </w:rPr>
      </w:pPr>
      <w:r>
        <w:rPr>
          <w:rFonts w:asciiTheme="minorHAnsi" w:hAnsiTheme="minorHAnsi" w:cs="Calibri"/>
          <w:szCs w:val="24"/>
        </w:rPr>
        <w:t xml:space="preserve">Determine the </w:t>
      </w:r>
      <w:r w:rsidRPr="004070B8">
        <w:rPr>
          <w:rFonts w:asciiTheme="minorHAnsi" w:hAnsiTheme="minorHAnsi" w:cs="Calibri"/>
          <w:b/>
          <w:szCs w:val="24"/>
        </w:rPr>
        <w:t>total body weight</w:t>
      </w:r>
      <w:r>
        <w:rPr>
          <w:rFonts w:asciiTheme="minorHAnsi" w:hAnsiTheme="minorHAnsi" w:cs="Calibri"/>
          <w:szCs w:val="24"/>
        </w:rPr>
        <w:t xml:space="preserve"> and age of the patient</w:t>
      </w:r>
    </w:p>
    <w:p w14:paraId="3934E440" w14:textId="3750D7FB" w:rsidR="00617B64" w:rsidRPr="004070B8" w:rsidRDefault="00617B64" w:rsidP="005A2A5C">
      <w:pPr>
        <w:pStyle w:val="Header"/>
        <w:numPr>
          <w:ilvl w:val="0"/>
          <w:numId w:val="9"/>
        </w:numPr>
        <w:tabs>
          <w:tab w:val="clear" w:pos="4153"/>
          <w:tab w:val="clear" w:pos="8306"/>
        </w:tabs>
        <w:rPr>
          <w:rFonts w:asciiTheme="minorHAnsi" w:hAnsiTheme="minorHAnsi" w:cs="Calibri"/>
          <w:szCs w:val="24"/>
        </w:rPr>
      </w:pPr>
      <w:r w:rsidRPr="004070B8">
        <w:rPr>
          <w:rFonts w:asciiTheme="minorHAnsi" w:hAnsiTheme="minorHAnsi" w:cs="Calibri"/>
          <w:szCs w:val="24"/>
        </w:rPr>
        <w:t>Determine if the patient has severe sepsis</w:t>
      </w:r>
    </w:p>
    <w:p w14:paraId="3D254517" w14:textId="77777777" w:rsidR="00617B64" w:rsidRPr="007C6707" w:rsidRDefault="00617B64" w:rsidP="005A2A5C">
      <w:pPr>
        <w:pStyle w:val="ListParagraph"/>
        <w:numPr>
          <w:ilvl w:val="0"/>
          <w:numId w:val="31"/>
        </w:numPr>
        <w:rPr>
          <w:rFonts w:asciiTheme="minorHAnsi" w:hAnsiTheme="minorHAnsi" w:cs="Calibri"/>
          <w:szCs w:val="24"/>
        </w:rPr>
      </w:pPr>
      <w:r w:rsidRPr="007C6707">
        <w:rPr>
          <w:rFonts w:asciiTheme="minorHAnsi" w:hAnsiTheme="minorHAnsi" w:cs="Calibri"/>
          <w:szCs w:val="24"/>
        </w:rPr>
        <w:t>For example: hypotension, high lactate or end organ dysfunction secondary to sepsis</w:t>
      </w:r>
    </w:p>
    <w:p w14:paraId="59D85507" w14:textId="752FB891" w:rsidR="00617B64" w:rsidRPr="004070B8" w:rsidRDefault="00617B64" w:rsidP="005A2A5C">
      <w:pPr>
        <w:pStyle w:val="Header"/>
        <w:numPr>
          <w:ilvl w:val="0"/>
          <w:numId w:val="9"/>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Refer to the dose recommendations in Table 1 </w:t>
      </w:r>
    </w:p>
    <w:p w14:paraId="5B42C6EE" w14:textId="018E32DB" w:rsidR="00617B64" w:rsidRPr="004070B8" w:rsidRDefault="00617B64" w:rsidP="005A2A5C">
      <w:pPr>
        <w:pStyle w:val="Header"/>
        <w:numPr>
          <w:ilvl w:val="0"/>
          <w:numId w:val="9"/>
        </w:numPr>
        <w:tabs>
          <w:tab w:val="clear" w:pos="4153"/>
          <w:tab w:val="clear" w:pos="8306"/>
        </w:tabs>
        <w:rPr>
          <w:rFonts w:asciiTheme="minorHAnsi" w:hAnsiTheme="minorHAnsi" w:cs="Calibri"/>
          <w:szCs w:val="24"/>
        </w:rPr>
      </w:pPr>
      <w:r w:rsidRPr="004070B8">
        <w:rPr>
          <w:rFonts w:asciiTheme="minorHAnsi" w:hAnsiTheme="minorHAnsi" w:cs="Calibri"/>
          <w:szCs w:val="24"/>
        </w:rPr>
        <w:t>Calculate your dose to the mg then round the total dose UP to the nearest multiple of 40mg</w:t>
      </w:r>
    </w:p>
    <w:p w14:paraId="2BD68D0D" w14:textId="47419CE7" w:rsidR="00617B64" w:rsidRPr="004070B8" w:rsidRDefault="00617B64" w:rsidP="005A2A5C">
      <w:pPr>
        <w:pStyle w:val="Header"/>
        <w:numPr>
          <w:ilvl w:val="0"/>
          <w:numId w:val="9"/>
        </w:numPr>
        <w:tabs>
          <w:tab w:val="clear" w:pos="4153"/>
          <w:tab w:val="clear" w:pos="8306"/>
        </w:tabs>
        <w:rPr>
          <w:rFonts w:asciiTheme="minorHAnsi" w:hAnsiTheme="minorHAnsi" w:cs="Calibri"/>
          <w:szCs w:val="24"/>
        </w:rPr>
      </w:pPr>
      <w:r w:rsidRPr="004070B8">
        <w:rPr>
          <w:rFonts w:asciiTheme="minorHAnsi" w:hAnsiTheme="minorHAnsi" w:cs="Calibri"/>
          <w:szCs w:val="24"/>
        </w:rPr>
        <w:t>Cap the dose to the maximum dose if the recommended dose is higher than the calculated dose</w:t>
      </w:r>
    </w:p>
    <w:p w14:paraId="273C73B3" w14:textId="2F025025" w:rsidR="007C6707" w:rsidRPr="005A2A5C" w:rsidRDefault="00617B64" w:rsidP="005A2A5C">
      <w:pPr>
        <w:pStyle w:val="Header"/>
        <w:numPr>
          <w:ilvl w:val="0"/>
          <w:numId w:val="9"/>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Dosing frequency is once daily – chart </w:t>
      </w:r>
      <w:r w:rsidR="00CA6AFE">
        <w:rPr>
          <w:rFonts w:asciiTheme="minorHAnsi" w:hAnsiTheme="minorHAnsi" w:cs="Calibri"/>
          <w:szCs w:val="24"/>
        </w:rPr>
        <w:t xml:space="preserve">the initial dose on the ‘once only/stat’ section of the medication chart, and subsequent doses </w:t>
      </w:r>
      <w:r w:rsidRPr="004070B8">
        <w:rPr>
          <w:rFonts w:asciiTheme="minorHAnsi" w:hAnsiTheme="minorHAnsi" w:cs="Calibri"/>
          <w:szCs w:val="24"/>
        </w:rPr>
        <w:t>on the ‘variable dose’ section</w:t>
      </w:r>
      <w:r w:rsidR="00DC660A" w:rsidRPr="00CA6AFE">
        <w:rPr>
          <w:rFonts w:asciiTheme="minorHAnsi" w:hAnsiTheme="minorHAnsi" w:cs="Calibri"/>
          <w:szCs w:val="24"/>
        </w:rPr>
        <w:br/>
      </w:r>
    </w:p>
    <w:p w14:paraId="243BCF4D" w14:textId="24713CF6" w:rsidR="00617B64" w:rsidRPr="004070B8" w:rsidRDefault="00617B64" w:rsidP="00617B64">
      <w:pPr>
        <w:rPr>
          <w:rFonts w:asciiTheme="minorHAnsi" w:hAnsiTheme="minorHAnsi"/>
        </w:rPr>
      </w:pPr>
      <w:r w:rsidRPr="004070B8">
        <w:rPr>
          <w:rFonts w:asciiTheme="minorHAnsi" w:hAnsiTheme="minorHAnsi"/>
        </w:rPr>
        <w:t xml:space="preserve">Table 1: Gentamicin/tobramycin dosing table in patients without special considerations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580"/>
        <w:gridCol w:w="1700"/>
        <w:gridCol w:w="1169"/>
        <w:gridCol w:w="1721"/>
        <w:gridCol w:w="1310"/>
      </w:tblGrid>
      <w:tr w:rsidR="00617B64" w:rsidRPr="00244945" w14:paraId="1293B8E9" w14:textId="77777777" w:rsidTr="005A2A5C">
        <w:trPr>
          <w:trHeight w:val="58"/>
        </w:trPr>
        <w:tc>
          <w:tcPr>
            <w:tcW w:w="2720" w:type="dxa"/>
            <w:gridSpan w:val="2"/>
            <w:hideMark/>
          </w:tcPr>
          <w:p w14:paraId="258C777E" w14:textId="77777777" w:rsidR="00617B64" w:rsidRPr="004070B8" w:rsidRDefault="00617B64" w:rsidP="005A2A5C">
            <w:pPr>
              <w:shd w:val="clear" w:color="auto" w:fill="FFFFFF"/>
              <w:rPr>
                <w:rFonts w:asciiTheme="minorHAnsi" w:hAnsiTheme="minorHAnsi" w:cs="Calibri"/>
                <w:b/>
                <w:szCs w:val="24"/>
              </w:rPr>
            </w:pPr>
            <w:r w:rsidRPr="004070B8">
              <w:rPr>
                <w:rFonts w:asciiTheme="minorHAnsi" w:hAnsiTheme="minorHAnsi" w:cs="Calibri"/>
                <w:b/>
                <w:bCs/>
                <w:sz w:val="22"/>
                <w:szCs w:val="24"/>
              </w:rPr>
              <w:t xml:space="preserve">ADULT Once Daily IV gentamicin/tobramycin starting dose </w:t>
            </w:r>
          </w:p>
        </w:tc>
        <w:tc>
          <w:tcPr>
            <w:tcW w:w="2869" w:type="dxa"/>
            <w:gridSpan w:val="2"/>
            <w:hideMark/>
          </w:tcPr>
          <w:p w14:paraId="18D0F14C" w14:textId="77777777" w:rsidR="00617B64" w:rsidRPr="004070B8" w:rsidRDefault="00617B64" w:rsidP="005A2A5C">
            <w:pPr>
              <w:shd w:val="clear" w:color="auto" w:fill="FFFFFF"/>
              <w:rPr>
                <w:rFonts w:asciiTheme="minorHAnsi" w:hAnsiTheme="minorHAnsi" w:cs="Calibri"/>
                <w:b/>
                <w:sz w:val="22"/>
                <w:szCs w:val="24"/>
              </w:rPr>
            </w:pPr>
            <w:r w:rsidRPr="004070B8">
              <w:rPr>
                <w:rFonts w:asciiTheme="minorHAnsi" w:hAnsiTheme="minorHAnsi" w:cs="Calibri"/>
                <w:b/>
                <w:bCs/>
                <w:sz w:val="22"/>
                <w:szCs w:val="24"/>
              </w:rPr>
              <w:t xml:space="preserve">Standard Dosing </w:t>
            </w:r>
          </w:p>
        </w:tc>
        <w:tc>
          <w:tcPr>
            <w:tcW w:w="3031" w:type="dxa"/>
            <w:gridSpan w:val="2"/>
            <w:hideMark/>
          </w:tcPr>
          <w:p w14:paraId="22C59FE4" w14:textId="77777777" w:rsidR="00617B64" w:rsidRPr="004070B8" w:rsidRDefault="00617B64" w:rsidP="005A2A5C">
            <w:pPr>
              <w:shd w:val="clear" w:color="auto" w:fill="FFFFFF"/>
              <w:rPr>
                <w:rFonts w:asciiTheme="minorHAnsi" w:hAnsiTheme="minorHAnsi" w:cs="Calibri"/>
                <w:b/>
                <w:sz w:val="22"/>
                <w:szCs w:val="24"/>
              </w:rPr>
            </w:pPr>
            <w:r w:rsidRPr="004070B8">
              <w:rPr>
                <w:rFonts w:asciiTheme="minorHAnsi" w:hAnsiTheme="minorHAnsi" w:cs="Calibri"/>
                <w:b/>
                <w:bCs/>
                <w:sz w:val="22"/>
                <w:szCs w:val="24"/>
              </w:rPr>
              <w:t xml:space="preserve">Severe Sepsis </w:t>
            </w:r>
          </w:p>
        </w:tc>
      </w:tr>
      <w:tr w:rsidR="00617B64" w:rsidRPr="00244945" w14:paraId="736F5186" w14:textId="77777777" w:rsidTr="005A2A5C">
        <w:trPr>
          <w:trHeight w:val="58"/>
        </w:trPr>
        <w:tc>
          <w:tcPr>
            <w:tcW w:w="1140" w:type="dxa"/>
            <w:hideMark/>
          </w:tcPr>
          <w:p w14:paraId="48297645" w14:textId="77777777" w:rsidR="00617B64" w:rsidRPr="004070B8" w:rsidRDefault="00617B64" w:rsidP="005A2A5C">
            <w:pPr>
              <w:shd w:val="clear" w:color="auto" w:fill="FFFFFF"/>
              <w:rPr>
                <w:rFonts w:asciiTheme="minorHAnsi" w:hAnsiTheme="minorHAnsi" w:cs="Calibri"/>
                <w:sz w:val="22"/>
                <w:szCs w:val="24"/>
              </w:rPr>
            </w:pPr>
          </w:p>
        </w:tc>
        <w:tc>
          <w:tcPr>
            <w:tcW w:w="1580" w:type="dxa"/>
            <w:hideMark/>
          </w:tcPr>
          <w:p w14:paraId="79AB14AC"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Age </w:t>
            </w:r>
          </w:p>
        </w:tc>
        <w:tc>
          <w:tcPr>
            <w:tcW w:w="1700" w:type="dxa"/>
            <w:hideMark/>
          </w:tcPr>
          <w:p w14:paraId="334501FF" w14:textId="4CC791DD"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Dose </w:t>
            </w:r>
          </w:p>
        </w:tc>
        <w:tc>
          <w:tcPr>
            <w:tcW w:w="1169" w:type="dxa"/>
            <w:hideMark/>
          </w:tcPr>
          <w:p w14:paraId="796A62AF"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Maximum Dose </w:t>
            </w:r>
          </w:p>
        </w:tc>
        <w:tc>
          <w:tcPr>
            <w:tcW w:w="1721" w:type="dxa"/>
            <w:hideMark/>
          </w:tcPr>
          <w:p w14:paraId="0158C59F" w14:textId="3B2D1D3D"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Dose </w:t>
            </w:r>
          </w:p>
        </w:tc>
        <w:tc>
          <w:tcPr>
            <w:tcW w:w="1310" w:type="dxa"/>
            <w:hideMark/>
          </w:tcPr>
          <w:p w14:paraId="45A2038F"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Maximum Dose </w:t>
            </w:r>
          </w:p>
        </w:tc>
      </w:tr>
      <w:tr w:rsidR="00617B64" w:rsidRPr="00244945" w14:paraId="29B01809" w14:textId="77777777" w:rsidTr="005A2A5C">
        <w:trPr>
          <w:trHeight w:val="58"/>
        </w:trPr>
        <w:tc>
          <w:tcPr>
            <w:tcW w:w="1140" w:type="dxa"/>
            <w:hideMark/>
          </w:tcPr>
          <w:p w14:paraId="10977F6A"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Females </w:t>
            </w:r>
          </w:p>
        </w:tc>
        <w:tc>
          <w:tcPr>
            <w:tcW w:w="1580" w:type="dxa"/>
            <w:hideMark/>
          </w:tcPr>
          <w:p w14:paraId="1EFFB131" w14:textId="305544FD" w:rsidR="00617B64" w:rsidRPr="004070B8" w:rsidRDefault="00CA6AFE" w:rsidP="005A2A5C">
            <w:pPr>
              <w:shd w:val="clear" w:color="auto" w:fill="FFFFFF"/>
              <w:rPr>
                <w:rFonts w:asciiTheme="minorHAnsi" w:hAnsiTheme="minorHAnsi" w:cs="Calibri"/>
                <w:sz w:val="22"/>
                <w:szCs w:val="24"/>
              </w:rPr>
            </w:pPr>
            <w:r w:rsidRPr="00CA6AFE">
              <w:rPr>
                <w:rFonts w:asciiTheme="minorHAnsi" w:hAnsiTheme="minorHAnsi" w:cs="Calibri"/>
                <w:sz w:val="22"/>
                <w:szCs w:val="24"/>
              </w:rPr>
              <w:t>&lt;</w:t>
            </w:r>
            <w:r w:rsidR="00617B64" w:rsidRPr="004070B8">
              <w:rPr>
                <w:rFonts w:asciiTheme="minorHAnsi" w:hAnsiTheme="minorHAnsi" w:cs="Calibri"/>
                <w:sz w:val="22"/>
                <w:szCs w:val="24"/>
              </w:rPr>
              <w:t xml:space="preserve">75 </w:t>
            </w:r>
            <w:proofErr w:type="spellStart"/>
            <w:r w:rsidR="00617B64" w:rsidRPr="004070B8">
              <w:rPr>
                <w:rFonts w:asciiTheme="minorHAnsi" w:hAnsiTheme="minorHAnsi" w:cs="Calibri"/>
                <w:sz w:val="22"/>
                <w:szCs w:val="24"/>
              </w:rPr>
              <w:t>yrs</w:t>
            </w:r>
            <w:proofErr w:type="spellEnd"/>
          </w:p>
        </w:tc>
        <w:tc>
          <w:tcPr>
            <w:tcW w:w="1700" w:type="dxa"/>
            <w:hideMark/>
          </w:tcPr>
          <w:p w14:paraId="523D7AAB" w14:textId="1F33A9EC"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5-6</w:t>
            </w:r>
            <w:r w:rsidR="00B528A6">
              <w:rPr>
                <w:rFonts w:asciiTheme="minorHAnsi" w:hAnsiTheme="minorHAnsi" w:cs="Calibri"/>
                <w:sz w:val="22"/>
                <w:szCs w:val="24"/>
              </w:rPr>
              <w:t xml:space="preserve"> </w:t>
            </w:r>
            <w:r w:rsidRPr="004070B8">
              <w:rPr>
                <w:rFonts w:asciiTheme="minorHAnsi" w:hAnsiTheme="minorHAnsi" w:cs="Calibri"/>
                <w:sz w:val="22"/>
                <w:szCs w:val="24"/>
              </w:rPr>
              <w:t>mg/kg</w:t>
            </w:r>
          </w:p>
        </w:tc>
        <w:tc>
          <w:tcPr>
            <w:tcW w:w="1169" w:type="dxa"/>
            <w:hideMark/>
          </w:tcPr>
          <w:p w14:paraId="1B97D21B"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400mg </w:t>
            </w:r>
          </w:p>
        </w:tc>
        <w:tc>
          <w:tcPr>
            <w:tcW w:w="1721" w:type="dxa"/>
            <w:hideMark/>
          </w:tcPr>
          <w:p w14:paraId="2A642370" w14:textId="5AC44C00"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7</w:t>
            </w:r>
            <w:r w:rsidR="00B528A6">
              <w:rPr>
                <w:rFonts w:asciiTheme="minorHAnsi" w:hAnsiTheme="minorHAnsi" w:cs="Calibri"/>
                <w:sz w:val="22"/>
                <w:szCs w:val="24"/>
              </w:rPr>
              <w:t xml:space="preserve"> </w:t>
            </w:r>
            <w:r w:rsidRPr="004070B8">
              <w:rPr>
                <w:rFonts w:asciiTheme="minorHAnsi" w:hAnsiTheme="minorHAnsi" w:cs="Calibri"/>
                <w:sz w:val="22"/>
                <w:szCs w:val="24"/>
              </w:rPr>
              <w:t xml:space="preserve">mg/kg </w:t>
            </w:r>
          </w:p>
        </w:tc>
        <w:tc>
          <w:tcPr>
            <w:tcW w:w="1310" w:type="dxa"/>
            <w:hideMark/>
          </w:tcPr>
          <w:p w14:paraId="5EB03A0E"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480mg </w:t>
            </w:r>
          </w:p>
        </w:tc>
      </w:tr>
      <w:tr w:rsidR="00617B64" w:rsidRPr="00244945" w14:paraId="4702F73D" w14:textId="77777777" w:rsidTr="005A2A5C">
        <w:trPr>
          <w:trHeight w:val="58"/>
        </w:trPr>
        <w:tc>
          <w:tcPr>
            <w:tcW w:w="1140" w:type="dxa"/>
            <w:hideMark/>
          </w:tcPr>
          <w:p w14:paraId="6396C8CA" w14:textId="77777777" w:rsidR="00617B64" w:rsidRPr="004070B8" w:rsidRDefault="00617B64" w:rsidP="005A2A5C">
            <w:pPr>
              <w:shd w:val="clear" w:color="auto" w:fill="FFFFFF"/>
              <w:rPr>
                <w:rFonts w:asciiTheme="minorHAnsi" w:hAnsiTheme="minorHAnsi" w:cs="Calibri"/>
                <w:sz w:val="22"/>
                <w:szCs w:val="24"/>
              </w:rPr>
            </w:pPr>
          </w:p>
        </w:tc>
        <w:tc>
          <w:tcPr>
            <w:tcW w:w="1580" w:type="dxa"/>
            <w:hideMark/>
          </w:tcPr>
          <w:p w14:paraId="2AA1DE14"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u w:val="single"/>
              </w:rPr>
              <w:t>&gt;</w:t>
            </w:r>
            <w:r w:rsidRPr="004070B8">
              <w:rPr>
                <w:rFonts w:asciiTheme="minorHAnsi" w:hAnsiTheme="minorHAnsi" w:cs="Calibri"/>
                <w:sz w:val="22"/>
                <w:szCs w:val="24"/>
              </w:rPr>
              <w:t xml:space="preserve">75 </w:t>
            </w:r>
            <w:proofErr w:type="spellStart"/>
            <w:r w:rsidRPr="004070B8">
              <w:rPr>
                <w:rFonts w:asciiTheme="minorHAnsi" w:hAnsiTheme="minorHAnsi" w:cs="Calibri"/>
                <w:sz w:val="22"/>
                <w:szCs w:val="24"/>
              </w:rPr>
              <w:t>yrs</w:t>
            </w:r>
            <w:proofErr w:type="spellEnd"/>
          </w:p>
        </w:tc>
        <w:tc>
          <w:tcPr>
            <w:tcW w:w="1700" w:type="dxa"/>
            <w:hideMark/>
          </w:tcPr>
          <w:p w14:paraId="1ED15FF0"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 mg/kg </w:t>
            </w:r>
          </w:p>
        </w:tc>
        <w:tc>
          <w:tcPr>
            <w:tcW w:w="1169" w:type="dxa"/>
            <w:hideMark/>
          </w:tcPr>
          <w:p w14:paraId="615A3647"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280mg </w:t>
            </w:r>
          </w:p>
        </w:tc>
        <w:tc>
          <w:tcPr>
            <w:tcW w:w="1721" w:type="dxa"/>
            <w:hideMark/>
          </w:tcPr>
          <w:p w14:paraId="5CE1358E" w14:textId="37A48234"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6</w:t>
            </w:r>
            <w:r w:rsidR="00B528A6">
              <w:rPr>
                <w:rFonts w:asciiTheme="minorHAnsi" w:hAnsiTheme="minorHAnsi" w:cs="Calibri"/>
                <w:sz w:val="22"/>
                <w:szCs w:val="24"/>
              </w:rPr>
              <w:t xml:space="preserve"> </w:t>
            </w:r>
            <w:r w:rsidRPr="004070B8">
              <w:rPr>
                <w:rFonts w:asciiTheme="minorHAnsi" w:hAnsiTheme="minorHAnsi" w:cs="Calibri"/>
                <w:sz w:val="22"/>
                <w:szCs w:val="24"/>
              </w:rPr>
              <w:t xml:space="preserve">mg/kg </w:t>
            </w:r>
          </w:p>
        </w:tc>
        <w:tc>
          <w:tcPr>
            <w:tcW w:w="1310" w:type="dxa"/>
            <w:hideMark/>
          </w:tcPr>
          <w:p w14:paraId="46D07AC7"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400mg </w:t>
            </w:r>
          </w:p>
        </w:tc>
      </w:tr>
      <w:tr w:rsidR="00617B64" w:rsidRPr="00244945" w14:paraId="1142A909" w14:textId="77777777" w:rsidTr="007C6707">
        <w:trPr>
          <w:trHeight w:val="283"/>
        </w:trPr>
        <w:tc>
          <w:tcPr>
            <w:tcW w:w="1140" w:type="dxa"/>
            <w:hideMark/>
          </w:tcPr>
          <w:p w14:paraId="57D3BBEC"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Male </w:t>
            </w:r>
          </w:p>
        </w:tc>
        <w:tc>
          <w:tcPr>
            <w:tcW w:w="1580" w:type="dxa"/>
            <w:hideMark/>
          </w:tcPr>
          <w:p w14:paraId="70DD21A0"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&lt;75 </w:t>
            </w:r>
            <w:proofErr w:type="spellStart"/>
            <w:r w:rsidRPr="004070B8">
              <w:rPr>
                <w:rFonts w:asciiTheme="minorHAnsi" w:hAnsiTheme="minorHAnsi" w:cs="Calibri"/>
                <w:sz w:val="22"/>
                <w:szCs w:val="24"/>
              </w:rPr>
              <w:t>yrs</w:t>
            </w:r>
            <w:proofErr w:type="spellEnd"/>
          </w:p>
        </w:tc>
        <w:tc>
          <w:tcPr>
            <w:tcW w:w="1700" w:type="dxa"/>
            <w:hideMark/>
          </w:tcPr>
          <w:p w14:paraId="6E5FEF9B" w14:textId="1C0A8606"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5-6</w:t>
            </w:r>
            <w:r w:rsidR="00B528A6">
              <w:rPr>
                <w:rFonts w:asciiTheme="minorHAnsi" w:hAnsiTheme="minorHAnsi" w:cs="Calibri"/>
                <w:sz w:val="22"/>
                <w:szCs w:val="24"/>
              </w:rPr>
              <w:t xml:space="preserve"> </w:t>
            </w:r>
            <w:r w:rsidRPr="004070B8">
              <w:rPr>
                <w:rFonts w:asciiTheme="minorHAnsi" w:hAnsiTheme="minorHAnsi" w:cs="Calibri"/>
                <w:sz w:val="22"/>
                <w:szCs w:val="24"/>
              </w:rPr>
              <w:t xml:space="preserve">mg/kg </w:t>
            </w:r>
          </w:p>
        </w:tc>
        <w:tc>
          <w:tcPr>
            <w:tcW w:w="1169" w:type="dxa"/>
            <w:hideMark/>
          </w:tcPr>
          <w:p w14:paraId="71781081"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480mg </w:t>
            </w:r>
          </w:p>
        </w:tc>
        <w:tc>
          <w:tcPr>
            <w:tcW w:w="1721" w:type="dxa"/>
            <w:hideMark/>
          </w:tcPr>
          <w:p w14:paraId="261E272A" w14:textId="3D23D570"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7</w:t>
            </w:r>
            <w:r w:rsidR="00B528A6">
              <w:rPr>
                <w:rFonts w:asciiTheme="minorHAnsi" w:hAnsiTheme="minorHAnsi" w:cs="Calibri"/>
                <w:sz w:val="22"/>
                <w:szCs w:val="24"/>
              </w:rPr>
              <w:t xml:space="preserve"> </w:t>
            </w:r>
            <w:r w:rsidRPr="004070B8">
              <w:rPr>
                <w:rFonts w:asciiTheme="minorHAnsi" w:hAnsiTheme="minorHAnsi" w:cs="Calibri"/>
                <w:sz w:val="22"/>
                <w:szCs w:val="24"/>
              </w:rPr>
              <w:t xml:space="preserve">mg/kg </w:t>
            </w:r>
          </w:p>
        </w:tc>
        <w:tc>
          <w:tcPr>
            <w:tcW w:w="1310" w:type="dxa"/>
            <w:hideMark/>
          </w:tcPr>
          <w:p w14:paraId="6DD14B4D"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560mg </w:t>
            </w:r>
          </w:p>
        </w:tc>
      </w:tr>
      <w:tr w:rsidR="00617B64" w:rsidRPr="00244945" w14:paraId="58E72944" w14:textId="77777777" w:rsidTr="005A2A5C">
        <w:trPr>
          <w:trHeight w:val="58"/>
        </w:trPr>
        <w:tc>
          <w:tcPr>
            <w:tcW w:w="1140" w:type="dxa"/>
            <w:hideMark/>
          </w:tcPr>
          <w:p w14:paraId="455B6CA6" w14:textId="77777777" w:rsidR="00617B64" w:rsidRPr="004070B8" w:rsidRDefault="00617B64" w:rsidP="005A2A5C">
            <w:pPr>
              <w:shd w:val="clear" w:color="auto" w:fill="FFFFFF"/>
              <w:rPr>
                <w:rFonts w:asciiTheme="minorHAnsi" w:hAnsiTheme="minorHAnsi" w:cs="Calibri"/>
                <w:sz w:val="22"/>
                <w:szCs w:val="24"/>
              </w:rPr>
            </w:pPr>
          </w:p>
        </w:tc>
        <w:tc>
          <w:tcPr>
            <w:tcW w:w="1580" w:type="dxa"/>
            <w:hideMark/>
          </w:tcPr>
          <w:p w14:paraId="5F6406DA"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u w:val="single"/>
              </w:rPr>
              <w:t>&gt;</w:t>
            </w:r>
            <w:r w:rsidRPr="004070B8">
              <w:rPr>
                <w:rFonts w:asciiTheme="minorHAnsi" w:hAnsiTheme="minorHAnsi" w:cs="Calibri"/>
                <w:sz w:val="22"/>
                <w:szCs w:val="24"/>
              </w:rPr>
              <w:t xml:space="preserve">75 </w:t>
            </w:r>
            <w:proofErr w:type="spellStart"/>
            <w:r w:rsidRPr="004070B8">
              <w:rPr>
                <w:rFonts w:asciiTheme="minorHAnsi" w:hAnsiTheme="minorHAnsi" w:cs="Calibri"/>
                <w:sz w:val="22"/>
                <w:szCs w:val="24"/>
              </w:rPr>
              <w:t>yrs</w:t>
            </w:r>
            <w:proofErr w:type="spellEnd"/>
          </w:p>
        </w:tc>
        <w:tc>
          <w:tcPr>
            <w:tcW w:w="1700" w:type="dxa"/>
            <w:hideMark/>
          </w:tcPr>
          <w:p w14:paraId="1B67BE47"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4 mg/kg </w:t>
            </w:r>
          </w:p>
        </w:tc>
        <w:tc>
          <w:tcPr>
            <w:tcW w:w="1169" w:type="dxa"/>
            <w:hideMark/>
          </w:tcPr>
          <w:p w14:paraId="75FB5E8A" w14:textId="77777777"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320mg </w:t>
            </w:r>
          </w:p>
        </w:tc>
        <w:tc>
          <w:tcPr>
            <w:tcW w:w="1721" w:type="dxa"/>
            <w:hideMark/>
          </w:tcPr>
          <w:p w14:paraId="4766CF8A" w14:textId="22C00DA5" w:rsidR="00617B64" w:rsidRPr="004070B8" w:rsidRDefault="00617B64" w:rsidP="005A2A5C">
            <w:pPr>
              <w:shd w:val="clear" w:color="auto" w:fill="FFFFFF"/>
              <w:rPr>
                <w:rFonts w:asciiTheme="minorHAnsi" w:hAnsiTheme="minorHAnsi" w:cs="Calibri"/>
                <w:sz w:val="22"/>
                <w:szCs w:val="24"/>
              </w:rPr>
            </w:pPr>
            <w:r w:rsidRPr="004070B8">
              <w:rPr>
                <w:rFonts w:asciiTheme="minorHAnsi" w:hAnsiTheme="minorHAnsi" w:cs="Calibri"/>
                <w:sz w:val="22"/>
                <w:szCs w:val="24"/>
              </w:rPr>
              <w:t>6</w:t>
            </w:r>
            <w:r w:rsidR="00B528A6">
              <w:rPr>
                <w:rFonts w:asciiTheme="minorHAnsi" w:hAnsiTheme="minorHAnsi" w:cs="Calibri"/>
                <w:sz w:val="22"/>
                <w:szCs w:val="24"/>
              </w:rPr>
              <w:t xml:space="preserve"> </w:t>
            </w:r>
            <w:r w:rsidRPr="004070B8">
              <w:rPr>
                <w:rFonts w:asciiTheme="minorHAnsi" w:hAnsiTheme="minorHAnsi" w:cs="Calibri"/>
                <w:sz w:val="22"/>
                <w:szCs w:val="24"/>
              </w:rPr>
              <w:t xml:space="preserve">mg/kg </w:t>
            </w:r>
          </w:p>
        </w:tc>
        <w:tc>
          <w:tcPr>
            <w:tcW w:w="1310" w:type="dxa"/>
            <w:hideMark/>
          </w:tcPr>
          <w:p w14:paraId="4E34C144" w14:textId="73CE3544" w:rsidR="00617B64" w:rsidRPr="004070B8" w:rsidRDefault="007D4CEC" w:rsidP="005A2A5C">
            <w:pPr>
              <w:shd w:val="clear" w:color="auto" w:fill="FFFFFF"/>
              <w:rPr>
                <w:rFonts w:asciiTheme="minorHAnsi" w:hAnsiTheme="minorHAnsi" w:cs="Calibri"/>
                <w:sz w:val="22"/>
                <w:szCs w:val="24"/>
              </w:rPr>
            </w:pPr>
            <w:r>
              <w:rPr>
                <w:rFonts w:asciiTheme="minorHAnsi" w:hAnsiTheme="minorHAnsi" w:cs="Calibri"/>
                <w:sz w:val="22"/>
                <w:szCs w:val="24"/>
              </w:rPr>
              <w:t>440mg</w:t>
            </w:r>
            <w:r w:rsidR="00617B64" w:rsidRPr="004070B8">
              <w:rPr>
                <w:rFonts w:asciiTheme="minorHAnsi" w:hAnsiTheme="minorHAnsi" w:cs="Calibri"/>
                <w:sz w:val="22"/>
                <w:szCs w:val="24"/>
              </w:rPr>
              <w:t xml:space="preserve"> </w:t>
            </w:r>
          </w:p>
        </w:tc>
      </w:tr>
    </w:tbl>
    <w:p w14:paraId="3B453775" w14:textId="13E999FD" w:rsidR="003D03B8" w:rsidRDefault="003D03B8" w:rsidP="003D03B8"/>
    <w:p w14:paraId="3726EE32" w14:textId="27B27AED" w:rsidR="00617B64" w:rsidRPr="004070B8" w:rsidRDefault="00617B64" w:rsidP="007C6707">
      <w:pPr>
        <w:pStyle w:val="Heading2"/>
      </w:pPr>
      <w:bookmarkStart w:id="9" w:name="_Section_1.2:_Amikacin"/>
      <w:bookmarkStart w:id="10" w:name="_Section_1.2:_Standard"/>
      <w:bookmarkStart w:id="11" w:name="_Toc38371899"/>
      <w:bookmarkEnd w:id="9"/>
      <w:bookmarkEnd w:id="10"/>
      <w:r w:rsidRPr="004070B8">
        <w:lastRenderedPageBreak/>
        <w:t xml:space="preserve">Section 1.2: </w:t>
      </w:r>
      <w:r w:rsidR="00157BBA">
        <w:t>Standard a</w:t>
      </w:r>
      <w:r w:rsidRPr="004070B8">
        <w:t>mikacin dosing</w:t>
      </w:r>
      <w:bookmarkEnd w:id="11"/>
      <w:r w:rsidRPr="004070B8">
        <w:t xml:space="preserve"> </w:t>
      </w:r>
    </w:p>
    <w:p w14:paraId="6B8CBB7E" w14:textId="1B808C4C" w:rsidR="00617B64" w:rsidRPr="004070B8" w:rsidRDefault="00617B64"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Determine the </w:t>
      </w:r>
      <w:r w:rsidRPr="004070B8">
        <w:rPr>
          <w:rFonts w:asciiTheme="minorHAnsi" w:hAnsiTheme="minorHAnsi" w:cs="Calibri"/>
          <w:b/>
          <w:szCs w:val="24"/>
        </w:rPr>
        <w:t>total body weight</w:t>
      </w:r>
      <w:r w:rsidRPr="004070B8">
        <w:rPr>
          <w:rFonts w:asciiTheme="minorHAnsi" w:hAnsiTheme="minorHAnsi" w:cs="Calibri"/>
          <w:szCs w:val="24"/>
        </w:rPr>
        <w:t>, age of the patient</w:t>
      </w:r>
    </w:p>
    <w:p w14:paraId="1101CDFB" w14:textId="2D930F2F" w:rsidR="00617B64" w:rsidRDefault="00617B64"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Determine if your patient has severe sepsis or not </w:t>
      </w:r>
    </w:p>
    <w:p w14:paraId="3006845E" w14:textId="53B35EAB" w:rsidR="00B528A6" w:rsidRPr="007C6707" w:rsidRDefault="00B528A6" w:rsidP="005A2A5C">
      <w:pPr>
        <w:pStyle w:val="ListParagraph"/>
        <w:numPr>
          <w:ilvl w:val="0"/>
          <w:numId w:val="32"/>
        </w:numPr>
        <w:rPr>
          <w:rFonts w:asciiTheme="minorHAnsi" w:hAnsiTheme="minorHAnsi" w:cs="Calibri"/>
          <w:szCs w:val="24"/>
        </w:rPr>
      </w:pPr>
      <w:r w:rsidRPr="007C6707">
        <w:rPr>
          <w:rFonts w:asciiTheme="minorHAnsi" w:hAnsiTheme="minorHAnsi" w:cs="Calibri"/>
          <w:szCs w:val="24"/>
        </w:rPr>
        <w:t>For example: hypotension, high lactate or end organ dysfunction secondary to sepsis</w:t>
      </w:r>
    </w:p>
    <w:p w14:paraId="0D47DDBE" w14:textId="42C899EC" w:rsidR="00617B64" w:rsidRPr="004070B8" w:rsidRDefault="00617B64"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Refer to the dose recommendation in Table 2 </w:t>
      </w:r>
    </w:p>
    <w:p w14:paraId="76E18243" w14:textId="59C60C30" w:rsidR="00617B64" w:rsidRPr="004070B8" w:rsidRDefault="00617B64"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Calculate your dose to the mg then round the total dose UP to the nearest multiple of 250mg</w:t>
      </w:r>
      <w:r w:rsidR="00053FBB" w:rsidRPr="00244945">
        <w:rPr>
          <w:rFonts w:asciiTheme="minorHAnsi" w:hAnsiTheme="minorHAnsi" w:cs="Calibri"/>
          <w:szCs w:val="24"/>
        </w:rPr>
        <w:t xml:space="preserve"> </w:t>
      </w:r>
    </w:p>
    <w:p w14:paraId="444F2A3E" w14:textId="77777777" w:rsidR="00617B64" w:rsidRDefault="00617B64"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Cap the dose if the recommended dose is higher than the calculated dose</w:t>
      </w:r>
    </w:p>
    <w:p w14:paraId="24C5C755" w14:textId="7FAF8336" w:rsidR="00B528A6" w:rsidRDefault="00CA6AFE" w:rsidP="005A2A5C">
      <w:pPr>
        <w:pStyle w:val="Header"/>
        <w:numPr>
          <w:ilvl w:val="0"/>
          <w:numId w:val="10"/>
        </w:numPr>
        <w:tabs>
          <w:tab w:val="clear" w:pos="4153"/>
          <w:tab w:val="clear" w:pos="8306"/>
        </w:tabs>
        <w:rPr>
          <w:rFonts w:asciiTheme="minorHAnsi" w:hAnsiTheme="minorHAnsi" w:cs="Calibri"/>
          <w:szCs w:val="24"/>
        </w:rPr>
      </w:pPr>
      <w:r w:rsidRPr="004070B8">
        <w:rPr>
          <w:rFonts w:asciiTheme="minorHAnsi" w:hAnsiTheme="minorHAnsi" w:cs="Calibri"/>
          <w:szCs w:val="24"/>
        </w:rPr>
        <w:t xml:space="preserve">Dosing frequency is once daily – chart </w:t>
      </w:r>
      <w:r>
        <w:rPr>
          <w:rFonts w:asciiTheme="minorHAnsi" w:hAnsiTheme="minorHAnsi" w:cs="Calibri"/>
          <w:szCs w:val="24"/>
        </w:rPr>
        <w:t xml:space="preserve">the initial dose on the ‘once only/stat’ section of the medication chart, and subsequent doses </w:t>
      </w:r>
      <w:r w:rsidRPr="004070B8">
        <w:rPr>
          <w:rFonts w:asciiTheme="minorHAnsi" w:hAnsiTheme="minorHAnsi" w:cs="Calibri"/>
          <w:szCs w:val="24"/>
        </w:rPr>
        <w:t>on the ‘variable dose’ section</w:t>
      </w:r>
    </w:p>
    <w:p w14:paraId="527CBE20" w14:textId="77777777" w:rsidR="00B528A6" w:rsidRPr="004070B8" w:rsidRDefault="00B528A6" w:rsidP="00B528A6">
      <w:pPr>
        <w:pStyle w:val="Header"/>
        <w:tabs>
          <w:tab w:val="clear" w:pos="4153"/>
          <w:tab w:val="clear" w:pos="8306"/>
        </w:tabs>
        <w:rPr>
          <w:rFonts w:asciiTheme="minorHAnsi" w:hAnsiTheme="minorHAnsi" w:cs="Calibri"/>
          <w:szCs w:val="24"/>
        </w:rPr>
      </w:pPr>
    </w:p>
    <w:p w14:paraId="16353326" w14:textId="77777777" w:rsidR="00617B64" w:rsidRPr="004070B8" w:rsidRDefault="00617B64" w:rsidP="00617B64">
      <w:pPr>
        <w:rPr>
          <w:rFonts w:asciiTheme="minorHAnsi" w:hAnsiTheme="minorHAnsi"/>
        </w:rPr>
      </w:pPr>
      <w:r w:rsidRPr="004070B8">
        <w:rPr>
          <w:rFonts w:asciiTheme="minorHAnsi" w:hAnsiTheme="minorHAnsi"/>
        </w:rPr>
        <w:t xml:space="preserve">Table 2: Amikacin dosing table in patients without special considerations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580"/>
        <w:gridCol w:w="1700"/>
        <w:gridCol w:w="1480"/>
        <w:gridCol w:w="1360"/>
        <w:gridCol w:w="1360"/>
      </w:tblGrid>
      <w:tr w:rsidR="00617B64" w:rsidRPr="00244945" w14:paraId="089999F4" w14:textId="77777777" w:rsidTr="005A2A5C">
        <w:trPr>
          <w:trHeight w:val="309"/>
        </w:trPr>
        <w:tc>
          <w:tcPr>
            <w:tcW w:w="2720" w:type="dxa"/>
            <w:gridSpan w:val="2"/>
            <w:hideMark/>
          </w:tcPr>
          <w:p w14:paraId="11F7E6AA" w14:textId="77777777" w:rsidR="00617B64" w:rsidRPr="004070B8" w:rsidRDefault="00617B64" w:rsidP="00617B64">
            <w:pPr>
              <w:shd w:val="clear" w:color="auto" w:fill="FFFFFF"/>
              <w:jc w:val="center"/>
              <w:rPr>
                <w:rFonts w:asciiTheme="minorHAnsi" w:hAnsiTheme="minorHAnsi" w:cs="Calibri"/>
                <w:b/>
                <w:sz w:val="22"/>
                <w:szCs w:val="24"/>
              </w:rPr>
            </w:pPr>
            <w:r w:rsidRPr="004070B8">
              <w:rPr>
                <w:rFonts w:asciiTheme="minorHAnsi" w:hAnsiTheme="minorHAnsi" w:cs="Calibri"/>
                <w:b/>
                <w:bCs/>
                <w:sz w:val="22"/>
                <w:szCs w:val="24"/>
              </w:rPr>
              <w:t>ADULT Once Daily IV amikacin starting dose</w:t>
            </w:r>
          </w:p>
        </w:tc>
        <w:tc>
          <w:tcPr>
            <w:tcW w:w="3180" w:type="dxa"/>
            <w:gridSpan w:val="2"/>
            <w:hideMark/>
          </w:tcPr>
          <w:p w14:paraId="6E58C186" w14:textId="77777777" w:rsidR="00617B64" w:rsidRPr="004070B8" w:rsidRDefault="00617B64" w:rsidP="00617B64">
            <w:pPr>
              <w:shd w:val="clear" w:color="auto" w:fill="FFFFFF"/>
              <w:jc w:val="center"/>
              <w:rPr>
                <w:rFonts w:asciiTheme="minorHAnsi" w:hAnsiTheme="minorHAnsi" w:cs="Calibri"/>
                <w:b/>
                <w:sz w:val="22"/>
                <w:szCs w:val="24"/>
              </w:rPr>
            </w:pPr>
            <w:r w:rsidRPr="004070B8">
              <w:rPr>
                <w:rFonts w:asciiTheme="minorHAnsi" w:hAnsiTheme="minorHAnsi" w:cs="Calibri"/>
                <w:b/>
                <w:bCs/>
                <w:sz w:val="22"/>
                <w:szCs w:val="24"/>
              </w:rPr>
              <w:t>Standard Dosing</w:t>
            </w:r>
          </w:p>
        </w:tc>
        <w:tc>
          <w:tcPr>
            <w:tcW w:w="2720" w:type="dxa"/>
            <w:gridSpan w:val="2"/>
            <w:hideMark/>
          </w:tcPr>
          <w:p w14:paraId="5E05339B" w14:textId="77777777" w:rsidR="00617B64" w:rsidRPr="004070B8" w:rsidRDefault="00617B64" w:rsidP="00617B64">
            <w:pPr>
              <w:shd w:val="clear" w:color="auto" w:fill="FFFFFF"/>
              <w:jc w:val="center"/>
              <w:rPr>
                <w:rFonts w:asciiTheme="minorHAnsi" w:hAnsiTheme="minorHAnsi" w:cs="Calibri"/>
                <w:b/>
                <w:sz w:val="22"/>
                <w:szCs w:val="24"/>
              </w:rPr>
            </w:pPr>
            <w:r w:rsidRPr="004070B8">
              <w:rPr>
                <w:rFonts w:asciiTheme="minorHAnsi" w:hAnsiTheme="minorHAnsi" w:cs="Calibri"/>
                <w:b/>
                <w:bCs/>
                <w:sz w:val="22"/>
                <w:szCs w:val="24"/>
              </w:rPr>
              <w:t>Severe Sepsis</w:t>
            </w:r>
          </w:p>
        </w:tc>
      </w:tr>
      <w:tr w:rsidR="00617B64" w:rsidRPr="00244945" w14:paraId="5BB63CA5" w14:textId="77777777" w:rsidTr="005A2A5C">
        <w:trPr>
          <w:trHeight w:val="58"/>
        </w:trPr>
        <w:tc>
          <w:tcPr>
            <w:tcW w:w="1140" w:type="dxa"/>
            <w:hideMark/>
          </w:tcPr>
          <w:p w14:paraId="07B3D48D" w14:textId="77777777" w:rsidR="00617B64" w:rsidRPr="004070B8" w:rsidRDefault="00617B64" w:rsidP="00617B64">
            <w:pPr>
              <w:shd w:val="clear" w:color="auto" w:fill="FFFFFF"/>
              <w:rPr>
                <w:rFonts w:asciiTheme="minorHAnsi" w:hAnsiTheme="minorHAnsi" w:cs="Calibri"/>
                <w:sz w:val="22"/>
                <w:szCs w:val="24"/>
              </w:rPr>
            </w:pPr>
          </w:p>
        </w:tc>
        <w:tc>
          <w:tcPr>
            <w:tcW w:w="1580" w:type="dxa"/>
            <w:hideMark/>
          </w:tcPr>
          <w:p w14:paraId="18EDCD76"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Age</w:t>
            </w:r>
          </w:p>
        </w:tc>
        <w:tc>
          <w:tcPr>
            <w:tcW w:w="1700" w:type="dxa"/>
            <w:hideMark/>
          </w:tcPr>
          <w:p w14:paraId="75EFF018" w14:textId="603B8AE0" w:rsidR="00617B64" w:rsidRPr="004070B8" w:rsidRDefault="00617B64" w:rsidP="00CA6AFE">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 xml:space="preserve">Dose </w:t>
            </w:r>
          </w:p>
        </w:tc>
        <w:tc>
          <w:tcPr>
            <w:tcW w:w="1480" w:type="dxa"/>
            <w:hideMark/>
          </w:tcPr>
          <w:p w14:paraId="10DACCD2"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Maximum Dose</w:t>
            </w:r>
          </w:p>
        </w:tc>
        <w:tc>
          <w:tcPr>
            <w:tcW w:w="1360" w:type="dxa"/>
            <w:hideMark/>
          </w:tcPr>
          <w:p w14:paraId="34F050C2" w14:textId="674B9D19" w:rsidR="00617B64" w:rsidRPr="004070B8" w:rsidRDefault="00617B64" w:rsidP="00CA6AFE">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 xml:space="preserve">Dose </w:t>
            </w:r>
          </w:p>
        </w:tc>
        <w:tc>
          <w:tcPr>
            <w:tcW w:w="1360" w:type="dxa"/>
            <w:hideMark/>
          </w:tcPr>
          <w:p w14:paraId="0256EC5C"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Maximum Dose</w:t>
            </w:r>
          </w:p>
        </w:tc>
      </w:tr>
      <w:tr w:rsidR="00617B64" w:rsidRPr="00244945" w14:paraId="6D686350" w14:textId="77777777" w:rsidTr="007C6707">
        <w:trPr>
          <w:trHeight w:val="193"/>
        </w:trPr>
        <w:tc>
          <w:tcPr>
            <w:tcW w:w="1140" w:type="dxa"/>
            <w:hideMark/>
          </w:tcPr>
          <w:p w14:paraId="79415AC2" w14:textId="77777777" w:rsidR="00617B64" w:rsidRPr="004070B8" w:rsidRDefault="00617B64" w:rsidP="00617B64">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Females </w:t>
            </w:r>
          </w:p>
        </w:tc>
        <w:tc>
          <w:tcPr>
            <w:tcW w:w="1580" w:type="dxa"/>
            <w:hideMark/>
          </w:tcPr>
          <w:p w14:paraId="5B43CCFF"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 xml:space="preserve">&lt;75 </w:t>
            </w:r>
            <w:proofErr w:type="spellStart"/>
            <w:r w:rsidRPr="004070B8">
              <w:rPr>
                <w:rFonts w:asciiTheme="minorHAnsi" w:hAnsiTheme="minorHAnsi" w:cs="Calibri"/>
                <w:sz w:val="22"/>
                <w:szCs w:val="24"/>
              </w:rPr>
              <w:t>yrs</w:t>
            </w:r>
            <w:proofErr w:type="spellEnd"/>
          </w:p>
        </w:tc>
        <w:tc>
          <w:tcPr>
            <w:tcW w:w="1700" w:type="dxa"/>
            <w:hideMark/>
          </w:tcPr>
          <w:p w14:paraId="531C2AAD" w14:textId="32A691BF"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20-2</w:t>
            </w:r>
            <w:r w:rsidR="00053FBB">
              <w:rPr>
                <w:rFonts w:asciiTheme="minorHAnsi" w:hAnsiTheme="minorHAnsi" w:cs="Calibri"/>
                <w:sz w:val="22"/>
                <w:szCs w:val="24"/>
              </w:rPr>
              <w:t>5</w:t>
            </w:r>
            <w:r w:rsidRPr="004070B8">
              <w:rPr>
                <w:rFonts w:asciiTheme="minorHAnsi" w:hAnsiTheme="minorHAnsi" w:cs="Calibri"/>
                <w:sz w:val="22"/>
                <w:szCs w:val="24"/>
              </w:rPr>
              <w:t xml:space="preserve"> mg/kg</w:t>
            </w:r>
          </w:p>
        </w:tc>
        <w:tc>
          <w:tcPr>
            <w:tcW w:w="1480" w:type="dxa"/>
            <w:hideMark/>
          </w:tcPr>
          <w:p w14:paraId="7A9E1918" w14:textId="56CCC381" w:rsidR="00617B64" w:rsidRPr="004070B8" w:rsidRDefault="00617B64" w:rsidP="00CA6AFE">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CA6AFE">
              <w:rPr>
                <w:rFonts w:asciiTheme="minorHAnsi" w:hAnsiTheme="minorHAnsi" w:cs="Calibri"/>
                <w:sz w:val="22"/>
                <w:szCs w:val="24"/>
              </w:rPr>
              <w:t>750</w:t>
            </w:r>
            <w:r w:rsidRPr="004070B8">
              <w:rPr>
                <w:rFonts w:asciiTheme="minorHAnsi" w:hAnsiTheme="minorHAnsi" w:cs="Calibri"/>
                <w:sz w:val="22"/>
                <w:szCs w:val="24"/>
              </w:rPr>
              <w:t>mg</w:t>
            </w:r>
          </w:p>
        </w:tc>
        <w:tc>
          <w:tcPr>
            <w:tcW w:w="1360" w:type="dxa"/>
            <w:shd w:val="clear" w:color="auto" w:fill="auto"/>
            <w:hideMark/>
          </w:tcPr>
          <w:p w14:paraId="1E359D4A" w14:textId="5F2F91FC" w:rsidR="00617B64" w:rsidRPr="004070B8" w:rsidRDefault="00053FBB" w:rsidP="00617B64">
            <w:pPr>
              <w:shd w:val="clear" w:color="auto" w:fill="FFFFFF"/>
              <w:jc w:val="center"/>
              <w:rPr>
                <w:rFonts w:asciiTheme="minorHAnsi" w:hAnsiTheme="minorHAnsi" w:cs="Calibri"/>
                <w:sz w:val="22"/>
                <w:szCs w:val="24"/>
              </w:rPr>
            </w:pPr>
            <w:r w:rsidRPr="00CA6AFE">
              <w:rPr>
                <w:rFonts w:asciiTheme="minorHAnsi" w:hAnsiTheme="minorHAnsi" w:cs="Calibri"/>
                <w:sz w:val="22"/>
                <w:szCs w:val="24"/>
              </w:rPr>
              <w:t>30</w:t>
            </w:r>
            <w:r w:rsidR="00617B64" w:rsidRPr="004070B8">
              <w:rPr>
                <w:rFonts w:asciiTheme="minorHAnsi" w:hAnsiTheme="minorHAnsi" w:cs="Calibri"/>
                <w:sz w:val="22"/>
                <w:szCs w:val="24"/>
              </w:rPr>
              <w:t xml:space="preserve"> mg/kg</w:t>
            </w:r>
          </w:p>
        </w:tc>
        <w:tc>
          <w:tcPr>
            <w:tcW w:w="1360" w:type="dxa"/>
            <w:shd w:val="clear" w:color="auto" w:fill="auto"/>
            <w:hideMark/>
          </w:tcPr>
          <w:p w14:paraId="09DFE532"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2000mg</w:t>
            </w:r>
          </w:p>
        </w:tc>
      </w:tr>
      <w:tr w:rsidR="00617B64" w:rsidRPr="00244945" w14:paraId="127CD87B" w14:textId="77777777" w:rsidTr="005A2A5C">
        <w:trPr>
          <w:trHeight w:val="58"/>
        </w:trPr>
        <w:tc>
          <w:tcPr>
            <w:tcW w:w="1140" w:type="dxa"/>
            <w:hideMark/>
          </w:tcPr>
          <w:p w14:paraId="58B6DE16" w14:textId="77777777" w:rsidR="00617B64" w:rsidRPr="004070B8" w:rsidRDefault="00617B64" w:rsidP="00617B64">
            <w:pPr>
              <w:shd w:val="clear" w:color="auto" w:fill="FFFFFF"/>
              <w:rPr>
                <w:rFonts w:asciiTheme="minorHAnsi" w:hAnsiTheme="minorHAnsi" w:cs="Calibri"/>
                <w:sz w:val="22"/>
                <w:szCs w:val="24"/>
              </w:rPr>
            </w:pPr>
          </w:p>
        </w:tc>
        <w:tc>
          <w:tcPr>
            <w:tcW w:w="1580" w:type="dxa"/>
            <w:hideMark/>
          </w:tcPr>
          <w:p w14:paraId="7A72CCBA"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u w:val="single"/>
              </w:rPr>
              <w:t>&gt;</w:t>
            </w:r>
            <w:r w:rsidRPr="004070B8">
              <w:rPr>
                <w:rFonts w:asciiTheme="minorHAnsi" w:hAnsiTheme="minorHAnsi" w:cs="Calibri"/>
                <w:sz w:val="22"/>
                <w:szCs w:val="24"/>
              </w:rPr>
              <w:t xml:space="preserve">75 </w:t>
            </w:r>
            <w:proofErr w:type="spellStart"/>
            <w:r w:rsidRPr="004070B8">
              <w:rPr>
                <w:rFonts w:asciiTheme="minorHAnsi" w:hAnsiTheme="minorHAnsi" w:cs="Calibri"/>
                <w:sz w:val="22"/>
                <w:szCs w:val="24"/>
              </w:rPr>
              <w:t>yrs</w:t>
            </w:r>
            <w:proofErr w:type="spellEnd"/>
          </w:p>
        </w:tc>
        <w:tc>
          <w:tcPr>
            <w:tcW w:w="1700" w:type="dxa"/>
            <w:hideMark/>
          </w:tcPr>
          <w:p w14:paraId="2124FA80" w14:textId="09EBFA70" w:rsidR="00617B64" w:rsidRPr="004070B8" w:rsidRDefault="00617B64" w:rsidP="006A3777">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CA6AFE">
              <w:rPr>
                <w:rFonts w:asciiTheme="minorHAnsi" w:hAnsiTheme="minorHAnsi" w:cs="Calibri"/>
                <w:sz w:val="22"/>
                <w:szCs w:val="24"/>
              </w:rPr>
              <w:t>5</w:t>
            </w:r>
            <w:r w:rsidRPr="004070B8">
              <w:rPr>
                <w:rFonts w:asciiTheme="minorHAnsi" w:hAnsiTheme="minorHAnsi" w:cs="Calibri"/>
                <w:sz w:val="22"/>
                <w:szCs w:val="24"/>
              </w:rPr>
              <w:t xml:space="preserve"> mg/kg</w:t>
            </w:r>
          </w:p>
        </w:tc>
        <w:tc>
          <w:tcPr>
            <w:tcW w:w="1480" w:type="dxa"/>
            <w:hideMark/>
          </w:tcPr>
          <w:p w14:paraId="22AACEF4" w14:textId="2CB405DD" w:rsidR="00617B64" w:rsidRPr="004070B8" w:rsidRDefault="00617B64" w:rsidP="001C3601">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1C3601">
              <w:rPr>
                <w:rFonts w:asciiTheme="minorHAnsi" w:hAnsiTheme="minorHAnsi" w:cs="Calibri"/>
                <w:sz w:val="22"/>
                <w:szCs w:val="24"/>
              </w:rPr>
              <w:t>250</w:t>
            </w:r>
            <w:r w:rsidRPr="004070B8">
              <w:rPr>
                <w:rFonts w:asciiTheme="minorHAnsi" w:hAnsiTheme="minorHAnsi" w:cs="Calibri"/>
                <w:sz w:val="22"/>
                <w:szCs w:val="24"/>
              </w:rPr>
              <w:t>mg</w:t>
            </w:r>
          </w:p>
        </w:tc>
        <w:tc>
          <w:tcPr>
            <w:tcW w:w="1360" w:type="dxa"/>
            <w:shd w:val="clear" w:color="auto" w:fill="auto"/>
            <w:hideMark/>
          </w:tcPr>
          <w:p w14:paraId="0DD220F0" w14:textId="76EF181B"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w:t>
            </w:r>
            <w:r w:rsidR="00053FBB" w:rsidRPr="00CA6AFE">
              <w:rPr>
                <w:rFonts w:asciiTheme="minorHAnsi" w:hAnsiTheme="minorHAnsi" w:cs="Calibri"/>
                <w:sz w:val="22"/>
                <w:szCs w:val="24"/>
              </w:rPr>
              <w:t>5</w:t>
            </w:r>
            <w:r w:rsidR="00CA6AFE">
              <w:rPr>
                <w:rFonts w:asciiTheme="minorHAnsi" w:hAnsiTheme="minorHAnsi" w:cs="Calibri"/>
                <w:sz w:val="22"/>
                <w:szCs w:val="24"/>
              </w:rPr>
              <w:t xml:space="preserve"> </w:t>
            </w:r>
            <w:r w:rsidRPr="004070B8">
              <w:rPr>
                <w:rFonts w:asciiTheme="minorHAnsi" w:hAnsiTheme="minorHAnsi" w:cs="Calibri"/>
                <w:sz w:val="22"/>
                <w:szCs w:val="24"/>
              </w:rPr>
              <w:t>mg/kg</w:t>
            </w:r>
          </w:p>
        </w:tc>
        <w:tc>
          <w:tcPr>
            <w:tcW w:w="1360" w:type="dxa"/>
            <w:shd w:val="clear" w:color="auto" w:fill="auto"/>
            <w:hideMark/>
          </w:tcPr>
          <w:p w14:paraId="514656CD" w14:textId="1E2CF090" w:rsidR="00617B64" w:rsidRPr="004070B8" w:rsidRDefault="00617B64" w:rsidP="00CA6AFE">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CA6AFE">
              <w:rPr>
                <w:rFonts w:asciiTheme="minorHAnsi" w:hAnsiTheme="minorHAnsi" w:cs="Calibri"/>
                <w:sz w:val="22"/>
                <w:szCs w:val="24"/>
              </w:rPr>
              <w:t>750</w:t>
            </w:r>
            <w:r w:rsidRPr="004070B8">
              <w:rPr>
                <w:rFonts w:asciiTheme="minorHAnsi" w:hAnsiTheme="minorHAnsi" w:cs="Calibri"/>
                <w:sz w:val="22"/>
                <w:szCs w:val="24"/>
              </w:rPr>
              <w:t>mg</w:t>
            </w:r>
          </w:p>
        </w:tc>
      </w:tr>
      <w:tr w:rsidR="00617B64" w:rsidRPr="00244945" w14:paraId="536EE4CA" w14:textId="77777777" w:rsidTr="007C6707">
        <w:trPr>
          <w:trHeight w:val="292"/>
        </w:trPr>
        <w:tc>
          <w:tcPr>
            <w:tcW w:w="1140" w:type="dxa"/>
            <w:hideMark/>
          </w:tcPr>
          <w:p w14:paraId="5A89B0A3" w14:textId="77777777" w:rsidR="00617B64" w:rsidRPr="004070B8" w:rsidRDefault="00617B64" w:rsidP="00617B64">
            <w:pPr>
              <w:shd w:val="clear" w:color="auto" w:fill="FFFFFF"/>
              <w:rPr>
                <w:rFonts w:asciiTheme="minorHAnsi" w:hAnsiTheme="minorHAnsi" w:cs="Calibri"/>
                <w:sz w:val="22"/>
                <w:szCs w:val="24"/>
              </w:rPr>
            </w:pPr>
            <w:r w:rsidRPr="004070B8">
              <w:rPr>
                <w:rFonts w:asciiTheme="minorHAnsi" w:hAnsiTheme="minorHAnsi" w:cs="Calibri"/>
                <w:sz w:val="22"/>
                <w:szCs w:val="24"/>
              </w:rPr>
              <w:t xml:space="preserve">Male </w:t>
            </w:r>
          </w:p>
        </w:tc>
        <w:tc>
          <w:tcPr>
            <w:tcW w:w="1580" w:type="dxa"/>
            <w:hideMark/>
          </w:tcPr>
          <w:p w14:paraId="6F4A41C4"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 xml:space="preserve">&lt;75 </w:t>
            </w:r>
            <w:proofErr w:type="spellStart"/>
            <w:r w:rsidRPr="004070B8">
              <w:rPr>
                <w:rFonts w:asciiTheme="minorHAnsi" w:hAnsiTheme="minorHAnsi" w:cs="Calibri"/>
                <w:sz w:val="22"/>
                <w:szCs w:val="24"/>
              </w:rPr>
              <w:t>yrs</w:t>
            </w:r>
            <w:proofErr w:type="spellEnd"/>
          </w:p>
        </w:tc>
        <w:tc>
          <w:tcPr>
            <w:tcW w:w="1700" w:type="dxa"/>
            <w:hideMark/>
          </w:tcPr>
          <w:p w14:paraId="0EC9F344" w14:textId="2EB528E8" w:rsidR="00617B64" w:rsidRPr="004070B8" w:rsidRDefault="00617B64" w:rsidP="00053FBB">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20-2</w:t>
            </w:r>
            <w:r w:rsidR="00053FBB">
              <w:rPr>
                <w:rFonts w:asciiTheme="minorHAnsi" w:hAnsiTheme="minorHAnsi" w:cs="Calibri"/>
                <w:sz w:val="22"/>
                <w:szCs w:val="24"/>
              </w:rPr>
              <w:t>5</w:t>
            </w:r>
            <w:r w:rsidRPr="004070B8">
              <w:rPr>
                <w:rFonts w:asciiTheme="minorHAnsi" w:hAnsiTheme="minorHAnsi" w:cs="Calibri"/>
                <w:sz w:val="22"/>
                <w:szCs w:val="24"/>
              </w:rPr>
              <w:t xml:space="preserve"> </w:t>
            </w:r>
            <w:r w:rsidR="00CA6AFE">
              <w:rPr>
                <w:rFonts w:asciiTheme="minorHAnsi" w:hAnsiTheme="minorHAnsi" w:cs="Calibri"/>
                <w:sz w:val="22"/>
                <w:szCs w:val="24"/>
              </w:rPr>
              <w:t>mg</w:t>
            </w:r>
            <w:r w:rsidRPr="004070B8">
              <w:rPr>
                <w:rFonts w:asciiTheme="minorHAnsi" w:hAnsiTheme="minorHAnsi" w:cs="Calibri"/>
                <w:sz w:val="22"/>
                <w:szCs w:val="24"/>
              </w:rPr>
              <w:t>/kg</w:t>
            </w:r>
          </w:p>
        </w:tc>
        <w:tc>
          <w:tcPr>
            <w:tcW w:w="1480" w:type="dxa"/>
            <w:hideMark/>
          </w:tcPr>
          <w:p w14:paraId="7486434E"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2000mg</w:t>
            </w:r>
          </w:p>
        </w:tc>
        <w:tc>
          <w:tcPr>
            <w:tcW w:w="1360" w:type="dxa"/>
            <w:shd w:val="clear" w:color="auto" w:fill="auto"/>
            <w:hideMark/>
          </w:tcPr>
          <w:p w14:paraId="5DD0EBBD" w14:textId="4D7CBD1E" w:rsidR="00617B64" w:rsidRPr="004070B8" w:rsidRDefault="00053FBB" w:rsidP="00617B64">
            <w:pPr>
              <w:shd w:val="clear" w:color="auto" w:fill="FFFFFF"/>
              <w:jc w:val="center"/>
              <w:rPr>
                <w:rFonts w:asciiTheme="minorHAnsi" w:hAnsiTheme="minorHAnsi" w:cs="Calibri"/>
                <w:sz w:val="22"/>
                <w:szCs w:val="24"/>
              </w:rPr>
            </w:pPr>
            <w:r w:rsidRPr="00CA6AFE">
              <w:rPr>
                <w:rFonts w:asciiTheme="minorHAnsi" w:hAnsiTheme="minorHAnsi" w:cs="Calibri"/>
                <w:sz w:val="22"/>
                <w:szCs w:val="24"/>
              </w:rPr>
              <w:t>30</w:t>
            </w:r>
            <w:r w:rsidR="00CA6AFE">
              <w:rPr>
                <w:rFonts w:asciiTheme="minorHAnsi" w:hAnsiTheme="minorHAnsi" w:cs="Calibri"/>
                <w:sz w:val="22"/>
                <w:szCs w:val="24"/>
              </w:rPr>
              <w:t xml:space="preserve"> </w:t>
            </w:r>
            <w:r w:rsidR="00617B64" w:rsidRPr="004070B8">
              <w:rPr>
                <w:rFonts w:asciiTheme="minorHAnsi" w:hAnsiTheme="minorHAnsi" w:cs="Calibri"/>
                <w:sz w:val="22"/>
                <w:szCs w:val="24"/>
              </w:rPr>
              <w:t>mg/kg</w:t>
            </w:r>
          </w:p>
        </w:tc>
        <w:tc>
          <w:tcPr>
            <w:tcW w:w="1360" w:type="dxa"/>
            <w:shd w:val="clear" w:color="auto" w:fill="auto"/>
            <w:hideMark/>
          </w:tcPr>
          <w:p w14:paraId="32F09AC9"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2250mg</w:t>
            </w:r>
          </w:p>
        </w:tc>
      </w:tr>
      <w:tr w:rsidR="00617B64" w:rsidRPr="00244945" w14:paraId="331A7277" w14:textId="77777777" w:rsidTr="007C6707">
        <w:trPr>
          <w:trHeight w:val="328"/>
        </w:trPr>
        <w:tc>
          <w:tcPr>
            <w:tcW w:w="1140" w:type="dxa"/>
            <w:hideMark/>
          </w:tcPr>
          <w:p w14:paraId="604BF611" w14:textId="77777777" w:rsidR="00617B64" w:rsidRPr="004070B8" w:rsidRDefault="00617B64" w:rsidP="00617B64">
            <w:pPr>
              <w:shd w:val="clear" w:color="auto" w:fill="FFFFFF"/>
              <w:rPr>
                <w:rFonts w:asciiTheme="minorHAnsi" w:hAnsiTheme="minorHAnsi" w:cs="Calibri"/>
                <w:sz w:val="22"/>
                <w:szCs w:val="24"/>
              </w:rPr>
            </w:pPr>
          </w:p>
        </w:tc>
        <w:tc>
          <w:tcPr>
            <w:tcW w:w="1580" w:type="dxa"/>
            <w:hideMark/>
          </w:tcPr>
          <w:p w14:paraId="5D2BDE77" w14:textId="77777777"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u w:val="single"/>
              </w:rPr>
              <w:t>&gt;</w:t>
            </w:r>
            <w:r w:rsidRPr="004070B8">
              <w:rPr>
                <w:rFonts w:asciiTheme="minorHAnsi" w:hAnsiTheme="minorHAnsi" w:cs="Calibri"/>
                <w:sz w:val="22"/>
                <w:szCs w:val="24"/>
              </w:rPr>
              <w:t xml:space="preserve">75 </w:t>
            </w:r>
            <w:proofErr w:type="spellStart"/>
            <w:r w:rsidRPr="004070B8">
              <w:rPr>
                <w:rFonts w:asciiTheme="minorHAnsi" w:hAnsiTheme="minorHAnsi" w:cs="Calibri"/>
                <w:sz w:val="22"/>
                <w:szCs w:val="24"/>
              </w:rPr>
              <w:t>yrs</w:t>
            </w:r>
            <w:proofErr w:type="spellEnd"/>
          </w:p>
        </w:tc>
        <w:tc>
          <w:tcPr>
            <w:tcW w:w="1700" w:type="dxa"/>
            <w:hideMark/>
          </w:tcPr>
          <w:p w14:paraId="77025178" w14:textId="1EAB57CC" w:rsidR="00617B64" w:rsidRPr="004070B8" w:rsidRDefault="00617B64" w:rsidP="006A3777">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CA6AFE">
              <w:rPr>
                <w:rFonts w:asciiTheme="minorHAnsi" w:hAnsiTheme="minorHAnsi" w:cs="Calibri"/>
                <w:sz w:val="22"/>
                <w:szCs w:val="24"/>
              </w:rPr>
              <w:t>5</w:t>
            </w:r>
            <w:r w:rsidRPr="004070B8">
              <w:rPr>
                <w:rFonts w:asciiTheme="minorHAnsi" w:hAnsiTheme="minorHAnsi" w:cs="Calibri"/>
                <w:sz w:val="22"/>
                <w:szCs w:val="24"/>
              </w:rPr>
              <w:t xml:space="preserve">  mg/kg</w:t>
            </w:r>
          </w:p>
        </w:tc>
        <w:tc>
          <w:tcPr>
            <w:tcW w:w="1480" w:type="dxa"/>
            <w:hideMark/>
          </w:tcPr>
          <w:p w14:paraId="2EFC6B6C" w14:textId="033B5462" w:rsidR="00617B64" w:rsidRPr="004070B8" w:rsidRDefault="00617B64" w:rsidP="006A3777">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1</w:t>
            </w:r>
            <w:r w:rsidR="006A3777">
              <w:rPr>
                <w:rFonts w:asciiTheme="minorHAnsi" w:hAnsiTheme="minorHAnsi" w:cs="Calibri"/>
                <w:sz w:val="22"/>
                <w:szCs w:val="24"/>
              </w:rPr>
              <w:t>250</w:t>
            </w:r>
            <w:r w:rsidRPr="004070B8">
              <w:rPr>
                <w:rFonts w:asciiTheme="minorHAnsi" w:hAnsiTheme="minorHAnsi" w:cs="Calibri"/>
                <w:sz w:val="22"/>
                <w:szCs w:val="24"/>
              </w:rPr>
              <w:t>mg</w:t>
            </w:r>
          </w:p>
        </w:tc>
        <w:tc>
          <w:tcPr>
            <w:tcW w:w="1360" w:type="dxa"/>
            <w:shd w:val="clear" w:color="auto" w:fill="auto"/>
            <w:hideMark/>
          </w:tcPr>
          <w:p w14:paraId="24B1C768" w14:textId="457004BC" w:rsidR="00617B64" w:rsidRPr="004070B8" w:rsidRDefault="00617B64" w:rsidP="00617B64">
            <w:pPr>
              <w:shd w:val="clear" w:color="auto" w:fill="FFFFFF"/>
              <w:jc w:val="center"/>
              <w:rPr>
                <w:rFonts w:asciiTheme="minorHAnsi" w:hAnsiTheme="minorHAnsi" w:cs="Calibri"/>
                <w:sz w:val="22"/>
                <w:szCs w:val="24"/>
              </w:rPr>
            </w:pPr>
            <w:r w:rsidRPr="004070B8">
              <w:rPr>
                <w:rFonts w:asciiTheme="minorHAnsi" w:hAnsiTheme="minorHAnsi" w:cs="Calibri"/>
                <w:sz w:val="22"/>
                <w:szCs w:val="24"/>
              </w:rPr>
              <w:t>2</w:t>
            </w:r>
            <w:r w:rsidR="00053FBB" w:rsidRPr="00CA6AFE">
              <w:rPr>
                <w:rFonts w:asciiTheme="minorHAnsi" w:hAnsiTheme="minorHAnsi" w:cs="Calibri"/>
                <w:sz w:val="22"/>
                <w:szCs w:val="24"/>
              </w:rPr>
              <w:t>5</w:t>
            </w:r>
            <w:r w:rsidR="00CA6AFE">
              <w:rPr>
                <w:rFonts w:asciiTheme="minorHAnsi" w:hAnsiTheme="minorHAnsi" w:cs="Calibri"/>
                <w:sz w:val="22"/>
                <w:szCs w:val="24"/>
              </w:rPr>
              <w:t xml:space="preserve"> </w:t>
            </w:r>
            <w:r w:rsidRPr="004070B8">
              <w:rPr>
                <w:rFonts w:asciiTheme="minorHAnsi" w:hAnsiTheme="minorHAnsi" w:cs="Calibri"/>
                <w:sz w:val="22"/>
                <w:szCs w:val="24"/>
              </w:rPr>
              <w:t>mg/kg</w:t>
            </w:r>
          </w:p>
        </w:tc>
        <w:tc>
          <w:tcPr>
            <w:tcW w:w="1360" w:type="dxa"/>
            <w:shd w:val="clear" w:color="auto" w:fill="auto"/>
            <w:hideMark/>
          </w:tcPr>
          <w:p w14:paraId="533BAAF6" w14:textId="137C6068" w:rsidR="00617B64" w:rsidRPr="004070B8" w:rsidRDefault="007D4CEC" w:rsidP="00617B64">
            <w:pPr>
              <w:shd w:val="clear" w:color="auto" w:fill="FFFFFF"/>
              <w:jc w:val="center"/>
              <w:rPr>
                <w:rFonts w:asciiTheme="minorHAnsi" w:hAnsiTheme="minorHAnsi" w:cs="Calibri"/>
                <w:sz w:val="22"/>
                <w:szCs w:val="24"/>
              </w:rPr>
            </w:pPr>
            <w:r>
              <w:rPr>
                <w:rFonts w:asciiTheme="minorHAnsi" w:hAnsiTheme="minorHAnsi" w:cs="Calibri"/>
                <w:sz w:val="22"/>
                <w:szCs w:val="24"/>
              </w:rPr>
              <w:t>1750mg</w:t>
            </w:r>
          </w:p>
        </w:tc>
      </w:tr>
    </w:tbl>
    <w:p w14:paraId="58447354" w14:textId="03C546C5" w:rsidR="003D03B8" w:rsidRDefault="003D03B8">
      <w:pPr>
        <w:rPr>
          <w:rFonts w:ascii="Calibri" w:hAnsi="Calibri"/>
          <w:b/>
          <w:bCs/>
          <w:i/>
          <w:iCs/>
          <w:sz w:val="28"/>
          <w:szCs w:val="28"/>
        </w:rPr>
      </w:pPr>
    </w:p>
    <w:p w14:paraId="18A60391" w14:textId="6ADC23EB" w:rsidR="00617B64" w:rsidRPr="004070B8" w:rsidRDefault="007C6707" w:rsidP="007C6707">
      <w:pPr>
        <w:pStyle w:val="Heading2"/>
      </w:pPr>
      <w:bookmarkStart w:id="12" w:name="_Section_1.3_–"/>
      <w:bookmarkStart w:id="13" w:name="_Toc38371900"/>
      <w:bookmarkEnd w:id="12"/>
      <w:r>
        <w:t>Section 1.3:</w:t>
      </w:r>
      <w:r w:rsidR="00617B64" w:rsidRPr="004070B8">
        <w:t xml:space="preserve"> Dosing in patients with special considerations</w:t>
      </w:r>
      <w:bookmarkEnd w:id="13"/>
    </w:p>
    <w:p w14:paraId="33E39E54" w14:textId="5E39197B" w:rsidR="00617B64" w:rsidRPr="007C6707" w:rsidRDefault="00617B64" w:rsidP="007C6707">
      <w:pPr>
        <w:pStyle w:val="Heading3"/>
      </w:pPr>
      <w:bookmarkStart w:id="14" w:name="_Section_1.3.1:_Cystic"/>
      <w:bookmarkStart w:id="15" w:name="_Toc38371901"/>
      <w:bookmarkEnd w:id="14"/>
      <w:r w:rsidRPr="007C6707">
        <w:t>Section 1.3.1: Cystic Fibrosis</w:t>
      </w:r>
      <w:bookmarkEnd w:id="15"/>
    </w:p>
    <w:p w14:paraId="6449DEC1" w14:textId="551B8DBA" w:rsidR="00617B64" w:rsidRPr="004070B8" w:rsidRDefault="00617B64" w:rsidP="00617B64">
      <w:pPr>
        <w:rPr>
          <w:rFonts w:asciiTheme="minorHAnsi" w:hAnsiTheme="minorHAnsi"/>
          <w:szCs w:val="24"/>
        </w:rPr>
      </w:pPr>
      <w:r w:rsidRPr="004070B8">
        <w:rPr>
          <w:rFonts w:asciiTheme="minorHAnsi" w:hAnsiTheme="minorHAnsi"/>
          <w:szCs w:val="24"/>
        </w:rPr>
        <w:t xml:space="preserve">Dosing requirements are higher in this population due to altered volume distribution and increased drug clearance. Aminoglycosides, particularly tobramycin, are commonly used for ‘tune-ups’ or infective exacerbations in patients colonised with </w:t>
      </w:r>
      <w:r w:rsidR="007D4CEC" w:rsidRPr="007D4CEC">
        <w:rPr>
          <w:rFonts w:asciiTheme="minorHAnsi" w:hAnsiTheme="minorHAnsi"/>
          <w:i/>
          <w:szCs w:val="24"/>
        </w:rPr>
        <w:t>P</w:t>
      </w:r>
      <w:r w:rsidRPr="004070B8">
        <w:rPr>
          <w:rFonts w:asciiTheme="minorHAnsi" w:hAnsiTheme="minorHAnsi"/>
          <w:i/>
          <w:szCs w:val="24"/>
        </w:rPr>
        <w:t>seudomonas</w:t>
      </w:r>
      <w:r w:rsidRPr="004070B8">
        <w:rPr>
          <w:rFonts w:asciiTheme="minorHAnsi" w:hAnsiTheme="minorHAnsi"/>
          <w:szCs w:val="24"/>
        </w:rPr>
        <w:t>. Dosing weight should be calculated in this population using</w:t>
      </w:r>
      <w:r w:rsidR="00053FBB">
        <w:rPr>
          <w:rFonts w:asciiTheme="minorHAnsi" w:hAnsiTheme="minorHAnsi"/>
          <w:szCs w:val="24"/>
        </w:rPr>
        <w:t xml:space="preserve"> total body weight, as this is </w:t>
      </w:r>
      <w:r w:rsidR="007D4CEC">
        <w:rPr>
          <w:rFonts w:asciiTheme="minorHAnsi" w:hAnsiTheme="minorHAnsi"/>
          <w:szCs w:val="24"/>
        </w:rPr>
        <w:t xml:space="preserve">often </w:t>
      </w:r>
      <w:r w:rsidR="00053FBB">
        <w:rPr>
          <w:rFonts w:asciiTheme="minorHAnsi" w:hAnsiTheme="minorHAnsi"/>
          <w:szCs w:val="24"/>
        </w:rPr>
        <w:t>lower than the ideal body weight.</w:t>
      </w:r>
      <w:r w:rsidRPr="004070B8">
        <w:rPr>
          <w:rFonts w:asciiTheme="minorHAnsi" w:hAnsiTheme="minorHAnsi"/>
          <w:szCs w:val="24"/>
        </w:rPr>
        <w:t xml:space="preserve"> </w:t>
      </w:r>
    </w:p>
    <w:p w14:paraId="00F3917F" w14:textId="77777777" w:rsidR="00DC660A" w:rsidRDefault="00DC660A" w:rsidP="00617B64">
      <w:pPr>
        <w:rPr>
          <w:rFonts w:asciiTheme="minorHAnsi" w:hAnsiTheme="minorHAnsi"/>
          <w:szCs w:val="24"/>
        </w:rPr>
      </w:pPr>
    </w:p>
    <w:p w14:paraId="2530F42D" w14:textId="77777777" w:rsidR="00DC660A" w:rsidRDefault="00617B64" w:rsidP="00617B64">
      <w:pPr>
        <w:rPr>
          <w:rFonts w:asciiTheme="minorHAnsi" w:hAnsiTheme="minorHAnsi"/>
          <w:szCs w:val="24"/>
        </w:rPr>
      </w:pPr>
      <w:r w:rsidRPr="004070B8">
        <w:rPr>
          <w:rFonts w:asciiTheme="minorHAnsi" w:hAnsiTheme="minorHAnsi"/>
          <w:szCs w:val="24"/>
        </w:rPr>
        <w:t>Chart in the ‘Variable dose’ section of the medication chart</w:t>
      </w:r>
      <w:r w:rsidR="00DC660A" w:rsidRPr="00244945">
        <w:rPr>
          <w:rFonts w:asciiTheme="minorHAnsi" w:hAnsiTheme="minorHAnsi"/>
          <w:szCs w:val="24"/>
        </w:rPr>
        <w:t>:</w:t>
      </w:r>
      <w:r w:rsidR="00DC660A">
        <w:rPr>
          <w:rFonts w:asciiTheme="minorHAnsi" w:hAnsiTheme="minorHAnsi"/>
          <w:szCs w:val="24"/>
        </w:rPr>
        <w:br/>
      </w:r>
      <w:r w:rsidR="00DC660A">
        <w:rPr>
          <w:rFonts w:asciiTheme="minorHAnsi" w:hAnsiTheme="minorHAnsi"/>
          <w:szCs w:val="24"/>
        </w:rPr>
        <w:br/>
        <w:t>Table 3: Starting doses in cystic fibrosis</w:t>
      </w:r>
    </w:p>
    <w:tbl>
      <w:tblPr>
        <w:tblStyle w:val="TableGrid"/>
        <w:tblW w:w="0" w:type="auto"/>
        <w:tblLook w:val="04A0" w:firstRow="1" w:lastRow="0" w:firstColumn="1" w:lastColumn="0" w:noHBand="0" w:noVBand="1"/>
      </w:tblPr>
      <w:tblGrid>
        <w:gridCol w:w="4549"/>
        <w:gridCol w:w="4511"/>
      </w:tblGrid>
      <w:tr w:rsidR="00DC660A" w14:paraId="187ACB6A" w14:textId="77777777" w:rsidTr="00DC660A">
        <w:tc>
          <w:tcPr>
            <w:tcW w:w="4643" w:type="dxa"/>
          </w:tcPr>
          <w:p w14:paraId="62142C86" w14:textId="77777777" w:rsidR="00DC660A" w:rsidRDefault="00DC660A">
            <w:pPr>
              <w:rPr>
                <w:rFonts w:asciiTheme="minorHAnsi" w:hAnsiTheme="minorHAnsi"/>
                <w:szCs w:val="24"/>
              </w:rPr>
            </w:pPr>
            <w:r w:rsidRPr="00837813">
              <w:rPr>
                <w:rFonts w:asciiTheme="minorHAnsi" w:hAnsiTheme="minorHAnsi"/>
                <w:b/>
                <w:szCs w:val="24"/>
              </w:rPr>
              <w:t xml:space="preserve">Gentamicin/Tobramycin: </w:t>
            </w:r>
          </w:p>
        </w:tc>
        <w:tc>
          <w:tcPr>
            <w:tcW w:w="4643" w:type="dxa"/>
          </w:tcPr>
          <w:p w14:paraId="3AFD0A24" w14:textId="77777777" w:rsidR="00DC660A" w:rsidRDefault="00DC660A" w:rsidP="004070B8">
            <w:pPr>
              <w:ind w:firstLine="720"/>
              <w:rPr>
                <w:rFonts w:asciiTheme="minorHAnsi" w:hAnsiTheme="minorHAnsi"/>
                <w:szCs w:val="24"/>
              </w:rPr>
            </w:pPr>
            <w:r w:rsidRPr="00FF2230">
              <w:rPr>
                <w:rFonts w:asciiTheme="minorHAnsi" w:hAnsiTheme="minorHAnsi"/>
                <w:b/>
                <w:szCs w:val="24"/>
              </w:rPr>
              <w:t>Amikacin:</w:t>
            </w:r>
          </w:p>
        </w:tc>
      </w:tr>
      <w:tr w:rsidR="00DC660A" w14:paraId="245FC06B" w14:textId="77777777" w:rsidTr="005A2A5C">
        <w:trPr>
          <w:trHeight w:val="227"/>
        </w:trPr>
        <w:tc>
          <w:tcPr>
            <w:tcW w:w="4643" w:type="dxa"/>
          </w:tcPr>
          <w:p w14:paraId="0BC0EDC5" w14:textId="7232B22A" w:rsidR="00DC660A" w:rsidRDefault="00DC660A" w:rsidP="005A2A5C">
            <w:pPr>
              <w:rPr>
                <w:rFonts w:asciiTheme="minorHAnsi" w:hAnsiTheme="minorHAnsi"/>
                <w:szCs w:val="24"/>
              </w:rPr>
            </w:pPr>
            <w:r w:rsidRPr="003D78A1">
              <w:rPr>
                <w:rFonts w:asciiTheme="minorHAnsi" w:hAnsiTheme="minorHAnsi"/>
                <w:szCs w:val="24"/>
              </w:rPr>
              <w:t xml:space="preserve">10 mg/kg x </w:t>
            </w:r>
            <w:r w:rsidR="00053FBB">
              <w:rPr>
                <w:rFonts w:asciiTheme="minorHAnsi" w:hAnsiTheme="minorHAnsi"/>
                <w:szCs w:val="24"/>
              </w:rPr>
              <w:t>total body weight</w:t>
            </w:r>
            <w:r>
              <w:rPr>
                <w:rFonts w:asciiTheme="minorHAnsi" w:hAnsiTheme="minorHAnsi"/>
                <w:szCs w:val="24"/>
              </w:rPr>
              <w:t xml:space="preserve"> up to 660mg once daily </w:t>
            </w:r>
            <w:r w:rsidRPr="003D78A1">
              <w:rPr>
                <w:rFonts w:asciiTheme="minorHAnsi" w:hAnsiTheme="minorHAnsi"/>
                <w:szCs w:val="24"/>
              </w:rPr>
              <w:t xml:space="preserve">OR </w:t>
            </w:r>
            <w:r w:rsidRPr="003D78A1">
              <w:rPr>
                <w:rFonts w:asciiTheme="minorHAnsi" w:hAnsiTheme="minorHAnsi"/>
                <w:szCs w:val="24"/>
              </w:rPr>
              <w:br/>
              <w:t>Same dose used last admission if guided by previous Therapeutic Drug Monitoring.</w:t>
            </w:r>
          </w:p>
        </w:tc>
        <w:tc>
          <w:tcPr>
            <w:tcW w:w="4643" w:type="dxa"/>
          </w:tcPr>
          <w:p w14:paraId="036E4E00" w14:textId="084A5F96" w:rsidR="00DC660A" w:rsidRDefault="00DC660A" w:rsidP="00617B64">
            <w:pPr>
              <w:rPr>
                <w:rFonts w:asciiTheme="minorHAnsi" w:hAnsiTheme="minorHAnsi"/>
                <w:szCs w:val="24"/>
              </w:rPr>
            </w:pPr>
            <w:r w:rsidRPr="001653CB">
              <w:rPr>
                <w:rFonts w:asciiTheme="minorHAnsi" w:hAnsiTheme="minorHAnsi"/>
                <w:szCs w:val="24"/>
              </w:rPr>
              <w:t xml:space="preserve">30-35 mg/kg x </w:t>
            </w:r>
            <w:r w:rsidR="00053FBB">
              <w:rPr>
                <w:rFonts w:asciiTheme="minorHAnsi" w:hAnsiTheme="minorHAnsi"/>
                <w:szCs w:val="24"/>
              </w:rPr>
              <w:t>total body weight</w:t>
            </w:r>
            <w:r w:rsidRPr="001653CB">
              <w:rPr>
                <w:rFonts w:asciiTheme="minorHAnsi" w:hAnsiTheme="minorHAnsi"/>
                <w:szCs w:val="24"/>
              </w:rPr>
              <w:t xml:space="preserve"> up </w:t>
            </w:r>
            <w:r>
              <w:rPr>
                <w:rFonts w:asciiTheme="minorHAnsi" w:hAnsiTheme="minorHAnsi"/>
                <w:szCs w:val="24"/>
              </w:rPr>
              <w:t>to 2</w:t>
            </w:r>
            <w:r w:rsidR="00434D90">
              <w:rPr>
                <w:rFonts w:asciiTheme="minorHAnsi" w:hAnsiTheme="minorHAnsi"/>
                <w:szCs w:val="24"/>
              </w:rPr>
              <w:t>500m</w:t>
            </w:r>
            <w:r>
              <w:rPr>
                <w:rFonts w:asciiTheme="minorHAnsi" w:hAnsiTheme="minorHAnsi"/>
                <w:szCs w:val="24"/>
              </w:rPr>
              <w:t>g once-daily OR</w:t>
            </w:r>
          </w:p>
          <w:p w14:paraId="39B308A7" w14:textId="77777777" w:rsidR="00DC660A" w:rsidRDefault="00DC660A" w:rsidP="00617B64">
            <w:pPr>
              <w:rPr>
                <w:rFonts w:asciiTheme="minorHAnsi" w:hAnsiTheme="minorHAnsi"/>
                <w:szCs w:val="24"/>
              </w:rPr>
            </w:pPr>
            <w:r>
              <w:rPr>
                <w:rFonts w:asciiTheme="minorHAnsi" w:hAnsiTheme="minorHAnsi"/>
                <w:szCs w:val="24"/>
              </w:rPr>
              <w:t>Same dose used as last admission if guided by previous Therapeutic Drug Monitoring</w:t>
            </w:r>
          </w:p>
        </w:tc>
      </w:tr>
    </w:tbl>
    <w:p w14:paraId="40C1FBA5" w14:textId="2CA9EEFB" w:rsidR="00712C9A" w:rsidRPr="004070B8" w:rsidRDefault="00617B64" w:rsidP="00617B64">
      <w:pPr>
        <w:rPr>
          <w:rFonts w:asciiTheme="minorHAnsi" w:hAnsiTheme="minorHAnsi"/>
          <w:szCs w:val="24"/>
        </w:rPr>
      </w:pPr>
      <w:r w:rsidRPr="004070B8">
        <w:rPr>
          <w:rFonts w:asciiTheme="minorHAnsi" w:hAnsiTheme="minorHAnsi"/>
          <w:szCs w:val="24"/>
        </w:rPr>
        <w:br/>
      </w:r>
      <w:r w:rsidRPr="004070B8">
        <w:rPr>
          <w:rFonts w:asciiTheme="minorHAnsi" w:hAnsiTheme="minorHAnsi"/>
          <w:color w:val="000000"/>
          <w:szCs w:val="24"/>
        </w:rPr>
        <w:t xml:space="preserve">For mycobacterial infections, dose according to </w:t>
      </w:r>
      <w:hyperlink w:anchor="_Section_1.3.4:_Mycobacterial" w:history="1">
        <w:r w:rsidR="00803496" w:rsidRPr="004070B8">
          <w:rPr>
            <w:rStyle w:val="Hyperlink"/>
            <w:rFonts w:asciiTheme="minorHAnsi" w:hAnsiTheme="minorHAnsi"/>
          </w:rPr>
          <w:t xml:space="preserve">Section </w:t>
        </w:r>
        <w:r w:rsidR="00803496">
          <w:rPr>
            <w:rStyle w:val="Hyperlink"/>
            <w:rFonts w:asciiTheme="minorHAnsi" w:hAnsiTheme="minorHAnsi"/>
          </w:rPr>
          <w:t>1.</w:t>
        </w:r>
        <w:r w:rsidR="00803496" w:rsidRPr="004070B8">
          <w:rPr>
            <w:rStyle w:val="Hyperlink"/>
            <w:rFonts w:asciiTheme="minorHAnsi" w:hAnsiTheme="minorHAnsi"/>
          </w:rPr>
          <w:t>3.4</w:t>
        </w:r>
      </w:hyperlink>
      <w:r w:rsidR="00803496" w:rsidRPr="004070B8">
        <w:rPr>
          <w:rFonts w:asciiTheme="minorHAnsi" w:hAnsiTheme="minorHAnsi"/>
          <w:color w:val="000000"/>
          <w:szCs w:val="24"/>
        </w:rPr>
        <w:t xml:space="preserve"> instead</w:t>
      </w:r>
      <w:r w:rsidR="00803496">
        <w:rPr>
          <w:rFonts w:asciiTheme="minorHAnsi" w:hAnsiTheme="minorHAnsi"/>
          <w:color w:val="000000"/>
          <w:szCs w:val="24"/>
        </w:rPr>
        <w:t>.</w:t>
      </w:r>
      <w:r w:rsidR="006379ED">
        <w:rPr>
          <w:rFonts w:asciiTheme="minorHAnsi" w:hAnsiTheme="minorHAnsi"/>
          <w:color w:val="000000"/>
          <w:szCs w:val="24"/>
        </w:rPr>
        <w:br/>
      </w:r>
    </w:p>
    <w:p w14:paraId="395A48C1" w14:textId="00A53D9B" w:rsidR="00617B64" w:rsidRPr="008F1419" w:rsidRDefault="00617B64" w:rsidP="007C6707">
      <w:pPr>
        <w:pStyle w:val="Heading3"/>
      </w:pPr>
      <w:bookmarkStart w:id="16" w:name="_Section_1.3.2:_Aminoglycosides"/>
      <w:bookmarkStart w:id="17" w:name="_Toc38371902"/>
      <w:bookmarkEnd w:id="16"/>
      <w:r w:rsidRPr="006379ED">
        <w:t>Section 1.3.2: Aminoglycosides in Pregnancy</w:t>
      </w:r>
      <w:bookmarkEnd w:id="17"/>
    </w:p>
    <w:p w14:paraId="57A5E03D" w14:textId="1739FE00" w:rsidR="00617B64" w:rsidRDefault="00617B64" w:rsidP="00617B64">
      <w:pPr>
        <w:rPr>
          <w:rFonts w:asciiTheme="minorHAnsi" w:hAnsiTheme="minorHAnsi"/>
          <w:szCs w:val="24"/>
        </w:rPr>
      </w:pPr>
      <w:r w:rsidRPr="004070B8">
        <w:rPr>
          <w:rFonts w:asciiTheme="minorHAnsi" w:hAnsiTheme="minorHAnsi"/>
          <w:szCs w:val="24"/>
        </w:rPr>
        <w:t xml:space="preserve">Use of aminoglycosides in pregnancy should be reserved for severe or life-threatening infections for which safer drugs are inappropriate. For more information consult the ward pharmacist, Medicines Information (ext. 43333), Antimicrobial Stewardship team (ext. 43378), or </w:t>
      </w:r>
      <w:r w:rsidR="00D44497">
        <w:rPr>
          <w:rFonts w:asciiTheme="minorHAnsi" w:hAnsiTheme="minorHAnsi"/>
          <w:szCs w:val="24"/>
        </w:rPr>
        <w:t>o</w:t>
      </w:r>
      <w:r w:rsidRPr="004070B8">
        <w:rPr>
          <w:rFonts w:asciiTheme="minorHAnsi" w:hAnsiTheme="minorHAnsi"/>
          <w:szCs w:val="24"/>
        </w:rPr>
        <w:t xml:space="preserve">bstetrics. </w:t>
      </w:r>
    </w:p>
    <w:p w14:paraId="119872FB" w14:textId="77777777" w:rsidR="00DC660A" w:rsidRPr="004070B8" w:rsidRDefault="00DC660A" w:rsidP="00617B64">
      <w:pPr>
        <w:rPr>
          <w:rFonts w:asciiTheme="minorHAnsi" w:hAnsiTheme="minorHAnsi"/>
          <w:szCs w:val="24"/>
        </w:rPr>
      </w:pPr>
    </w:p>
    <w:p w14:paraId="207FD376" w14:textId="26D2162D" w:rsidR="00617B64" w:rsidRDefault="00617B64" w:rsidP="00617B64">
      <w:pPr>
        <w:rPr>
          <w:rFonts w:asciiTheme="minorHAnsi" w:hAnsiTheme="minorHAnsi"/>
          <w:szCs w:val="24"/>
        </w:rPr>
      </w:pPr>
      <w:r w:rsidRPr="004070B8">
        <w:rPr>
          <w:rFonts w:asciiTheme="minorHAnsi" w:hAnsiTheme="minorHAnsi"/>
          <w:szCs w:val="24"/>
        </w:rPr>
        <w:t xml:space="preserve">Dosing weight should be calculated using </w:t>
      </w:r>
      <w:r w:rsidRPr="004070B8">
        <w:rPr>
          <w:rFonts w:asciiTheme="minorHAnsi" w:hAnsiTheme="minorHAnsi"/>
          <w:b/>
          <w:szCs w:val="24"/>
        </w:rPr>
        <w:t xml:space="preserve">pre-pregnancy, total body weight. </w:t>
      </w:r>
      <w:r w:rsidRPr="004070B8">
        <w:rPr>
          <w:rFonts w:asciiTheme="minorHAnsi" w:hAnsiTheme="minorHAnsi"/>
          <w:szCs w:val="24"/>
        </w:rPr>
        <w:t>Chart on the ‘variable dose’ section of the medication chart.</w:t>
      </w:r>
    </w:p>
    <w:p w14:paraId="62E02C42" w14:textId="77777777" w:rsidR="00DC660A" w:rsidRPr="004070B8" w:rsidRDefault="00DC660A" w:rsidP="00617B64">
      <w:pPr>
        <w:rPr>
          <w:rFonts w:asciiTheme="minorHAnsi" w:hAnsiTheme="minorHAnsi"/>
          <w:szCs w:val="24"/>
        </w:rPr>
      </w:pPr>
    </w:p>
    <w:p w14:paraId="3DB87C39" w14:textId="77777777" w:rsidR="00B34A99" w:rsidRDefault="00B34A99" w:rsidP="00B34A99">
      <w:pPr>
        <w:rPr>
          <w:rFonts w:asciiTheme="minorHAnsi" w:hAnsiTheme="minorHAnsi"/>
          <w:szCs w:val="24"/>
        </w:rPr>
      </w:pPr>
      <w:r w:rsidRPr="004070B8">
        <w:rPr>
          <w:rFonts w:asciiTheme="minorHAnsi" w:hAnsiTheme="minorHAnsi"/>
          <w:szCs w:val="24"/>
        </w:rPr>
        <w:t xml:space="preserve">For standard indications, dose as per </w:t>
      </w:r>
      <w:hyperlink w:anchor="_Section_1.1:_Gentamicin/tobramycin" w:history="1">
        <w:r w:rsidRPr="004070B8">
          <w:rPr>
            <w:rStyle w:val="Hyperlink"/>
            <w:rFonts w:asciiTheme="minorHAnsi" w:hAnsiTheme="minorHAnsi"/>
          </w:rPr>
          <w:t>Table 1</w:t>
        </w:r>
      </w:hyperlink>
      <w:r w:rsidRPr="004070B8">
        <w:rPr>
          <w:rFonts w:asciiTheme="minorHAnsi" w:hAnsiTheme="minorHAnsi"/>
          <w:szCs w:val="24"/>
        </w:rPr>
        <w:t xml:space="preserve"> for gentamicin/tobramycin, and </w:t>
      </w:r>
      <w:hyperlink w:anchor="_Section_1.2:_Amikacin" w:history="1">
        <w:r w:rsidRPr="004070B8">
          <w:rPr>
            <w:rStyle w:val="Hyperlink"/>
            <w:rFonts w:asciiTheme="minorHAnsi" w:hAnsiTheme="minorHAnsi"/>
          </w:rPr>
          <w:t>Table 2</w:t>
        </w:r>
      </w:hyperlink>
      <w:r w:rsidRPr="004070B8">
        <w:rPr>
          <w:rFonts w:asciiTheme="minorHAnsi" w:hAnsiTheme="minorHAnsi"/>
          <w:szCs w:val="24"/>
        </w:rPr>
        <w:t xml:space="preserve"> for amikacin using the appropriate dosing weight.</w:t>
      </w:r>
    </w:p>
    <w:p w14:paraId="4B769C04" w14:textId="77777777" w:rsidR="00DC660A" w:rsidRPr="004070B8" w:rsidRDefault="00DC660A" w:rsidP="00617B64">
      <w:pPr>
        <w:rPr>
          <w:rFonts w:asciiTheme="minorHAnsi" w:hAnsiTheme="minorHAnsi"/>
          <w:szCs w:val="24"/>
        </w:rPr>
      </w:pPr>
    </w:p>
    <w:p w14:paraId="28AAECE0" w14:textId="64A97D75" w:rsidR="003D03B8" w:rsidRDefault="00617B64" w:rsidP="00617B64">
      <w:pPr>
        <w:rPr>
          <w:rFonts w:asciiTheme="minorHAnsi" w:hAnsiTheme="minorHAnsi"/>
          <w:szCs w:val="24"/>
        </w:rPr>
      </w:pPr>
      <w:r w:rsidRPr="004070B8">
        <w:rPr>
          <w:rFonts w:asciiTheme="minorHAnsi" w:hAnsiTheme="minorHAnsi"/>
          <w:szCs w:val="24"/>
        </w:rPr>
        <w:t xml:space="preserve">For non-standard indications, refer to the relevant section for dosage and management, or consult the Infectious Diseases/Antimicrobial Stewardship teams. </w:t>
      </w:r>
    </w:p>
    <w:p w14:paraId="69071C30" w14:textId="77777777" w:rsidR="007C6707" w:rsidRPr="004070B8" w:rsidRDefault="007C6707" w:rsidP="00617B64">
      <w:pPr>
        <w:rPr>
          <w:rFonts w:asciiTheme="minorHAnsi" w:hAnsiTheme="minorHAnsi"/>
          <w:szCs w:val="24"/>
        </w:rPr>
      </w:pPr>
    </w:p>
    <w:p w14:paraId="24C6617F" w14:textId="1B1B47FC" w:rsidR="00617B64" w:rsidRPr="00125E74" w:rsidRDefault="00617B64" w:rsidP="007C6707">
      <w:pPr>
        <w:pStyle w:val="Heading3"/>
      </w:pPr>
      <w:bookmarkStart w:id="18" w:name="_Section_1.3.3:_Endocarditis"/>
      <w:bookmarkStart w:id="19" w:name="_Toc38371903"/>
      <w:bookmarkEnd w:id="18"/>
      <w:r w:rsidRPr="006379ED">
        <w:t>Section</w:t>
      </w:r>
      <w:r w:rsidRPr="008F1419">
        <w:t xml:space="preserve"> 1.3.3: Endocarditis</w:t>
      </w:r>
      <w:bookmarkEnd w:id="19"/>
    </w:p>
    <w:p w14:paraId="2A69C13A" w14:textId="77777777" w:rsidR="00EB5A5B" w:rsidRPr="00EB5A5B" w:rsidRDefault="00EB5A5B" w:rsidP="002E5F36">
      <w:pPr>
        <w:numPr>
          <w:ilvl w:val="0"/>
          <w:numId w:val="8"/>
        </w:numPr>
        <w:spacing w:after="200" w:line="276" w:lineRule="auto"/>
        <w:ind w:left="425" w:hanging="357"/>
        <w:rPr>
          <w:rStyle w:val="Hyperlink"/>
          <w:rFonts w:asciiTheme="minorHAnsi" w:hAnsiTheme="minorHAnsi"/>
          <w:color w:val="auto"/>
          <w:szCs w:val="24"/>
          <w:u w:val="none"/>
        </w:rPr>
      </w:pPr>
      <w:r w:rsidRPr="00EB5A5B">
        <w:rPr>
          <w:rFonts w:asciiTheme="minorHAnsi" w:hAnsiTheme="minorHAnsi"/>
          <w:szCs w:val="24"/>
        </w:rPr>
        <w:t xml:space="preserve">Empiric therapy (organism unknown) – Prescribe once-daily dosing as per </w:t>
      </w:r>
      <w:hyperlink w:anchor="_Section_1.1:_Gentamicin/tobramycin" w:history="1">
        <w:r w:rsidRPr="00EB5A5B">
          <w:rPr>
            <w:rStyle w:val="Hyperlink"/>
            <w:rFonts w:asciiTheme="minorHAnsi" w:hAnsiTheme="minorHAnsi"/>
          </w:rPr>
          <w:t>Section 1.1</w:t>
        </w:r>
      </w:hyperlink>
      <w:r>
        <w:rPr>
          <w:rStyle w:val="Hyperlink"/>
          <w:rFonts w:asciiTheme="minorHAnsi" w:hAnsiTheme="minorHAnsi"/>
        </w:rPr>
        <w:t xml:space="preserve"> </w:t>
      </w:r>
    </w:p>
    <w:p w14:paraId="61C939D1" w14:textId="3626A297" w:rsidR="00617B64" w:rsidRPr="00EB5A5B" w:rsidRDefault="00617B64" w:rsidP="002E5F36">
      <w:pPr>
        <w:numPr>
          <w:ilvl w:val="0"/>
          <w:numId w:val="8"/>
        </w:numPr>
        <w:spacing w:after="200" w:line="276" w:lineRule="auto"/>
        <w:ind w:left="425" w:hanging="357"/>
        <w:rPr>
          <w:rFonts w:asciiTheme="minorHAnsi" w:hAnsiTheme="minorHAnsi"/>
          <w:szCs w:val="24"/>
        </w:rPr>
      </w:pPr>
      <w:r w:rsidRPr="00EB5A5B">
        <w:rPr>
          <w:rFonts w:asciiTheme="minorHAnsi" w:hAnsiTheme="minorHAnsi"/>
          <w:szCs w:val="24"/>
        </w:rPr>
        <w:t>Directed therapy – Prescribe synergistic therapy as below:</w:t>
      </w:r>
    </w:p>
    <w:p w14:paraId="28773388" w14:textId="77777777" w:rsidR="007C6707" w:rsidRDefault="007C6707" w:rsidP="00617B64">
      <w:pPr>
        <w:ind w:left="66"/>
        <w:rPr>
          <w:rFonts w:asciiTheme="minorHAnsi" w:hAnsiTheme="minorHAnsi"/>
          <w:szCs w:val="24"/>
        </w:rPr>
      </w:pPr>
    </w:p>
    <w:p w14:paraId="7FBBDFCA" w14:textId="556283B0" w:rsidR="00617B64" w:rsidRDefault="00617B64" w:rsidP="00617B64">
      <w:pPr>
        <w:ind w:left="66"/>
        <w:rPr>
          <w:rFonts w:asciiTheme="minorHAnsi" w:hAnsiTheme="minorHAnsi"/>
          <w:szCs w:val="24"/>
        </w:rPr>
      </w:pPr>
      <w:r w:rsidRPr="004070B8">
        <w:rPr>
          <w:rFonts w:asciiTheme="minorHAnsi" w:hAnsiTheme="minorHAnsi"/>
          <w:szCs w:val="24"/>
        </w:rPr>
        <w:t>Gentamicin use in this setting is for synergy with penicillins and glycopeptides for gram positive organisms (see Therapeutic Guidelines for more information). Management should be guided by Infectious Diseases. The aim is to provide stable, detectable serum drug concentrations rather than concentration-dependent killing with high peaks and low troughs. Chart in the ‘regular medicines’ section of medication chart</w:t>
      </w:r>
      <w:r w:rsidR="004A636C">
        <w:rPr>
          <w:rFonts w:asciiTheme="minorHAnsi" w:hAnsiTheme="minorHAnsi"/>
          <w:szCs w:val="24"/>
        </w:rPr>
        <w:t xml:space="preserve"> as per Table 4.</w:t>
      </w:r>
    </w:p>
    <w:p w14:paraId="1E69CEBE" w14:textId="77777777" w:rsidR="004A636C" w:rsidRDefault="004A636C" w:rsidP="00617B64">
      <w:pPr>
        <w:ind w:left="66"/>
        <w:rPr>
          <w:rFonts w:asciiTheme="minorHAnsi" w:hAnsiTheme="minorHAnsi"/>
          <w:szCs w:val="24"/>
        </w:rPr>
      </w:pPr>
    </w:p>
    <w:p w14:paraId="6585328E" w14:textId="535D7B0B" w:rsidR="00DC660A" w:rsidRPr="004070B8" w:rsidRDefault="004A636C" w:rsidP="00617B64">
      <w:pPr>
        <w:ind w:left="66"/>
        <w:rPr>
          <w:rFonts w:asciiTheme="minorHAnsi" w:hAnsiTheme="minorHAnsi"/>
          <w:szCs w:val="24"/>
        </w:rPr>
      </w:pPr>
      <w:r>
        <w:rPr>
          <w:rFonts w:asciiTheme="minorHAnsi" w:hAnsiTheme="minorHAnsi"/>
          <w:szCs w:val="24"/>
        </w:rPr>
        <w:t>Table 4: Empiric gentamicin dosing for synergistic therapy</w:t>
      </w:r>
    </w:p>
    <w:tbl>
      <w:tblPr>
        <w:tblStyle w:val="TableGrid"/>
        <w:tblW w:w="0" w:type="auto"/>
        <w:tblInd w:w="66" w:type="dxa"/>
        <w:tblLook w:val="04A0" w:firstRow="1" w:lastRow="0" w:firstColumn="1" w:lastColumn="0" w:noHBand="0" w:noVBand="1"/>
      </w:tblPr>
      <w:tblGrid>
        <w:gridCol w:w="4495"/>
        <w:gridCol w:w="4499"/>
      </w:tblGrid>
      <w:tr w:rsidR="00DC660A" w14:paraId="72C124CE" w14:textId="77777777" w:rsidTr="004070B8">
        <w:tc>
          <w:tcPr>
            <w:tcW w:w="4610" w:type="dxa"/>
          </w:tcPr>
          <w:p w14:paraId="41F15A43" w14:textId="77777777" w:rsidR="00DC660A" w:rsidRDefault="00DC660A" w:rsidP="00617B64">
            <w:pPr>
              <w:jc w:val="center"/>
              <w:rPr>
                <w:rFonts w:asciiTheme="minorHAnsi" w:hAnsiTheme="minorHAnsi"/>
                <w:szCs w:val="24"/>
              </w:rPr>
            </w:pPr>
            <w:r>
              <w:rPr>
                <w:rFonts w:asciiTheme="minorHAnsi" w:hAnsiTheme="minorHAnsi"/>
                <w:szCs w:val="24"/>
              </w:rPr>
              <w:t xml:space="preserve">Creatinine Clearance </w:t>
            </w:r>
          </w:p>
        </w:tc>
        <w:tc>
          <w:tcPr>
            <w:tcW w:w="4610" w:type="dxa"/>
          </w:tcPr>
          <w:p w14:paraId="63208CA9" w14:textId="6E7B716D" w:rsidR="00DC660A" w:rsidRDefault="00DC660A" w:rsidP="00617B64">
            <w:pPr>
              <w:jc w:val="center"/>
              <w:rPr>
                <w:rFonts w:asciiTheme="minorHAnsi" w:hAnsiTheme="minorHAnsi"/>
                <w:szCs w:val="24"/>
              </w:rPr>
            </w:pPr>
            <w:r>
              <w:rPr>
                <w:rFonts w:asciiTheme="minorHAnsi" w:hAnsiTheme="minorHAnsi"/>
                <w:szCs w:val="24"/>
              </w:rPr>
              <w:t>Gentamicin Dose</w:t>
            </w:r>
            <w:r w:rsidR="0081571E">
              <w:rPr>
                <w:rFonts w:asciiTheme="minorHAnsi" w:hAnsiTheme="minorHAnsi"/>
                <w:szCs w:val="24"/>
              </w:rPr>
              <w:t xml:space="preserve"> (IBW)</w:t>
            </w:r>
          </w:p>
        </w:tc>
      </w:tr>
      <w:tr w:rsidR="00DC660A" w14:paraId="0D565436" w14:textId="77777777" w:rsidTr="004070B8">
        <w:tc>
          <w:tcPr>
            <w:tcW w:w="4610" w:type="dxa"/>
          </w:tcPr>
          <w:p w14:paraId="76ADE4E0" w14:textId="77777777" w:rsidR="00DC660A" w:rsidRDefault="00DC660A">
            <w:pPr>
              <w:jc w:val="center"/>
              <w:rPr>
                <w:rFonts w:asciiTheme="minorHAnsi" w:hAnsiTheme="minorHAnsi"/>
                <w:szCs w:val="24"/>
              </w:rPr>
            </w:pPr>
            <w:proofErr w:type="spellStart"/>
            <w:r w:rsidRPr="00B318D2">
              <w:rPr>
                <w:rFonts w:asciiTheme="minorHAnsi" w:hAnsiTheme="minorHAnsi"/>
                <w:szCs w:val="24"/>
              </w:rPr>
              <w:t>CrCL</w:t>
            </w:r>
            <w:proofErr w:type="spellEnd"/>
            <w:r w:rsidRPr="00B318D2">
              <w:rPr>
                <w:rFonts w:asciiTheme="minorHAnsi" w:hAnsiTheme="minorHAnsi"/>
                <w:szCs w:val="24"/>
              </w:rPr>
              <w:t xml:space="preserve"> ≥60 mL/min</w:t>
            </w:r>
          </w:p>
        </w:tc>
        <w:tc>
          <w:tcPr>
            <w:tcW w:w="4610" w:type="dxa"/>
          </w:tcPr>
          <w:p w14:paraId="083250E7" w14:textId="77777777" w:rsidR="00DC660A" w:rsidRDefault="00DC660A" w:rsidP="00617B64">
            <w:pPr>
              <w:jc w:val="center"/>
              <w:rPr>
                <w:rFonts w:asciiTheme="minorHAnsi" w:hAnsiTheme="minorHAnsi"/>
                <w:szCs w:val="24"/>
              </w:rPr>
            </w:pPr>
            <w:r w:rsidRPr="007D6BDC">
              <w:rPr>
                <w:rFonts w:asciiTheme="minorHAnsi" w:hAnsiTheme="minorHAnsi"/>
                <w:szCs w:val="24"/>
              </w:rPr>
              <w:t>1 mg/kg 8-hourly</w:t>
            </w:r>
          </w:p>
        </w:tc>
      </w:tr>
      <w:tr w:rsidR="00DC660A" w14:paraId="52BBE6E3" w14:textId="77777777" w:rsidTr="004070B8">
        <w:tc>
          <w:tcPr>
            <w:tcW w:w="4610" w:type="dxa"/>
          </w:tcPr>
          <w:p w14:paraId="43E94820" w14:textId="77777777" w:rsidR="00DC660A" w:rsidRDefault="00DC660A" w:rsidP="00617B64">
            <w:pPr>
              <w:jc w:val="center"/>
              <w:rPr>
                <w:rFonts w:asciiTheme="minorHAnsi" w:hAnsiTheme="minorHAnsi"/>
                <w:szCs w:val="24"/>
              </w:rPr>
            </w:pPr>
            <w:proofErr w:type="spellStart"/>
            <w:r w:rsidRPr="005A0EB2">
              <w:rPr>
                <w:rFonts w:asciiTheme="minorHAnsi" w:hAnsiTheme="minorHAnsi"/>
                <w:szCs w:val="24"/>
              </w:rPr>
              <w:t>CrCL</w:t>
            </w:r>
            <w:proofErr w:type="spellEnd"/>
            <w:r w:rsidRPr="005A0EB2">
              <w:rPr>
                <w:rFonts w:asciiTheme="minorHAnsi" w:hAnsiTheme="minorHAnsi"/>
                <w:szCs w:val="24"/>
              </w:rPr>
              <w:t xml:space="preserve"> 30-60 ml/min</w:t>
            </w:r>
          </w:p>
        </w:tc>
        <w:tc>
          <w:tcPr>
            <w:tcW w:w="4610" w:type="dxa"/>
          </w:tcPr>
          <w:p w14:paraId="6780C96A" w14:textId="77777777" w:rsidR="00DC660A" w:rsidRDefault="00DC660A" w:rsidP="00617B64">
            <w:pPr>
              <w:jc w:val="center"/>
              <w:rPr>
                <w:rFonts w:asciiTheme="minorHAnsi" w:hAnsiTheme="minorHAnsi"/>
                <w:szCs w:val="24"/>
              </w:rPr>
            </w:pPr>
            <w:r w:rsidRPr="00275E53">
              <w:rPr>
                <w:rFonts w:asciiTheme="minorHAnsi" w:hAnsiTheme="minorHAnsi"/>
                <w:szCs w:val="24"/>
              </w:rPr>
              <w:t>1 mg/kg 12-hourly</w:t>
            </w:r>
          </w:p>
        </w:tc>
      </w:tr>
      <w:tr w:rsidR="00DC660A" w14:paraId="1F997FED" w14:textId="77777777" w:rsidTr="004070B8">
        <w:tc>
          <w:tcPr>
            <w:tcW w:w="4610" w:type="dxa"/>
          </w:tcPr>
          <w:p w14:paraId="0D956437" w14:textId="77777777" w:rsidR="00DC660A" w:rsidRDefault="00DC660A" w:rsidP="00617B64">
            <w:pPr>
              <w:jc w:val="center"/>
              <w:rPr>
                <w:rFonts w:asciiTheme="minorHAnsi" w:hAnsiTheme="minorHAnsi"/>
                <w:szCs w:val="24"/>
              </w:rPr>
            </w:pPr>
            <w:proofErr w:type="spellStart"/>
            <w:r w:rsidRPr="000D0AF8">
              <w:rPr>
                <w:rFonts w:asciiTheme="minorHAnsi" w:hAnsiTheme="minorHAnsi"/>
                <w:szCs w:val="24"/>
              </w:rPr>
              <w:t>CrCL</w:t>
            </w:r>
            <w:proofErr w:type="spellEnd"/>
            <w:r w:rsidRPr="000D0AF8">
              <w:rPr>
                <w:rFonts w:asciiTheme="minorHAnsi" w:hAnsiTheme="minorHAnsi"/>
                <w:szCs w:val="24"/>
              </w:rPr>
              <w:t xml:space="preserve"> if &lt;30 ml/min</w:t>
            </w:r>
          </w:p>
        </w:tc>
        <w:tc>
          <w:tcPr>
            <w:tcW w:w="4610" w:type="dxa"/>
          </w:tcPr>
          <w:p w14:paraId="37324BFA" w14:textId="5CDF9C1E" w:rsidR="00DC660A" w:rsidRDefault="00DC660A" w:rsidP="00617B64">
            <w:pPr>
              <w:jc w:val="center"/>
              <w:rPr>
                <w:rFonts w:asciiTheme="minorHAnsi" w:hAnsiTheme="minorHAnsi"/>
                <w:szCs w:val="24"/>
              </w:rPr>
            </w:pPr>
            <w:r w:rsidRPr="001C10C8">
              <w:rPr>
                <w:rFonts w:asciiTheme="minorHAnsi" w:hAnsiTheme="minorHAnsi"/>
                <w:szCs w:val="24"/>
              </w:rPr>
              <w:t>1</w:t>
            </w:r>
            <w:r w:rsidR="00D44497">
              <w:rPr>
                <w:rFonts w:asciiTheme="minorHAnsi" w:hAnsiTheme="minorHAnsi"/>
                <w:szCs w:val="24"/>
              </w:rPr>
              <w:t xml:space="preserve"> </w:t>
            </w:r>
            <w:r w:rsidRPr="001C10C8">
              <w:rPr>
                <w:rFonts w:asciiTheme="minorHAnsi" w:hAnsiTheme="minorHAnsi"/>
                <w:szCs w:val="24"/>
              </w:rPr>
              <w:t>mg/kg 24-hourly</w:t>
            </w:r>
          </w:p>
        </w:tc>
      </w:tr>
    </w:tbl>
    <w:p w14:paraId="5ECD7339" w14:textId="77777777" w:rsidR="00DC660A" w:rsidRDefault="00DC660A" w:rsidP="004070B8">
      <w:pPr>
        <w:rPr>
          <w:rFonts w:asciiTheme="minorHAnsi" w:hAnsiTheme="minorHAnsi"/>
          <w:szCs w:val="24"/>
        </w:rPr>
      </w:pPr>
    </w:p>
    <w:p w14:paraId="64E43430" w14:textId="6572D0CC" w:rsidR="00712C9A" w:rsidRDefault="00712C9A" w:rsidP="00712C9A">
      <w:pPr>
        <w:rPr>
          <w:rFonts w:asciiTheme="minorHAnsi" w:hAnsiTheme="minorHAnsi"/>
          <w:szCs w:val="24"/>
        </w:rPr>
      </w:pPr>
      <w:r>
        <w:rPr>
          <w:rFonts w:asciiTheme="minorHAnsi" w:hAnsiTheme="minorHAnsi"/>
          <w:szCs w:val="24"/>
        </w:rPr>
        <w:t xml:space="preserve">Refer to the </w:t>
      </w:r>
      <w:hyperlink w:anchor="_Appendix" w:history="1">
        <w:r w:rsidR="00FC5675" w:rsidRPr="00712C9A">
          <w:rPr>
            <w:rStyle w:val="Hyperlink"/>
            <w:rFonts w:asciiTheme="minorHAnsi" w:hAnsiTheme="minorHAnsi"/>
            <w:szCs w:val="24"/>
          </w:rPr>
          <w:t>Appendix</w:t>
        </w:r>
      </w:hyperlink>
      <w:r w:rsidR="00FC5675">
        <w:rPr>
          <w:rStyle w:val="Hyperlink"/>
          <w:rFonts w:asciiTheme="minorHAnsi" w:hAnsiTheme="minorHAnsi"/>
          <w:szCs w:val="24"/>
        </w:rPr>
        <w:t xml:space="preserve"> 1 </w:t>
      </w:r>
      <w:r>
        <w:rPr>
          <w:rFonts w:asciiTheme="minorHAnsi" w:hAnsiTheme="minorHAnsi"/>
          <w:szCs w:val="24"/>
        </w:rPr>
        <w:t>for guidance on dose calculations using ideal body weight (IBW).</w:t>
      </w:r>
    </w:p>
    <w:p w14:paraId="5C1EF7FA" w14:textId="77777777" w:rsidR="00F167D4" w:rsidRDefault="00F167D4" w:rsidP="00617B64">
      <w:pPr>
        <w:ind w:left="66"/>
        <w:rPr>
          <w:rFonts w:asciiTheme="minorHAnsi" w:hAnsiTheme="minorHAnsi"/>
        </w:rPr>
      </w:pPr>
    </w:p>
    <w:p w14:paraId="2782436B" w14:textId="194A0A91" w:rsidR="00617B64" w:rsidRPr="004070B8" w:rsidRDefault="00617B64" w:rsidP="007C6707">
      <w:pPr>
        <w:rPr>
          <w:rFonts w:asciiTheme="minorHAnsi" w:hAnsiTheme="minorHAnsi"/>
          <w:color w:val="F79646"/>
        </w:rPr>
      </w:pPr>
      <w:r w:rsidRPr="004070B8">
        <w:rPr>
          <w:rFonts w:asciiTheme="minorHAnsi" w:hAnsiTheme="minorHAnsi"/>
        </w:rPr>
        <w:t>The use of once-daily dosing (i.e. 3 mg/kg 24-hourly) for synergistic</w:t>
      </w:r>
      <w:r w:rsidRPr="004070B8">
        <w:rPr>
          <w:rFonts w:asciiTheme="minorHAnsi" w:hAnsiTheme="minorHAnsi"/>
          <w:b/>
        </w:rPr>
        <w:t xml:space="preserve"> </w:t>
      </w:r>
      <w:r w:rsidRPr="004070B8">
        <w:rPr>
          <w:rFonts w:asciiTheme="minorHAnsi" w:hAnsiTheme="minorHAnsi"/>
        </w:rPr>
        <w:t xml:space="preserve">therapy is not yet widely accepted as there is only limited evidence supporting its use for certain organisms. Use of this regimen should be on the advice of Infectious Diseases only. </w:t>
      </w:r>
      <w:r w:rsidR="006379ED">
        <w:rPr>
          <w:rFonts w:asciiTheme="minorHAnsi" w:hAnsiTheme="minorHAnsi"/>
        </w:rPr>
        <w:br/>
      </w:r>
    </w:p>
    <w:p w14:paraId="4B61342A" w14:textId="5AB98B21" w:rsidR="00617B64" w:rsidRPr="008F1419" w:rsidRDefault="00617B64" w:rsidP="007C6707">
      <w:pPr>
        <w:pStyle w:val="Heading3"/>
      </w:pPr>
      <w:bookmarkStart w:id="20" w:name="_Section_1.3.4:_Mycobacterial"/>
      <w:bookmarkStart w:id="21" w:name="_Toc38371904"/>
      <w:bookmarkEnd w:id="20"/>
      <w:r w:rsidRPr="006379ED">
        <w:t>Section 1.3.4: Mycobacterial infections</w:t>
      </w:r>
      <w:bookmarkEnd w:id="21"/>
    </w:p>
    <w:p w14:paraId="14139872" w14:textId="77777777" w:rsidR="005914D3" w:rsidRDefault="00617B64" w:rsidP="00617B64">
      <w:pPr>
        <w:rPr>
          <w:rFonts w:asciiTheme="minorHAnsi" w:hAnsiTheme="minorHAnsi"/>
        </w:rPr>
      </w:pPr>
      <w:r w:rsidRPr="004070B8">
        <w:rPr>
          <w:rFonts w:asciiTheme="minorHAnsi" w:hAnsiTheme="minorHAnsi"/>
        </w:rPr>
        <w:t>Amikacin is used in combination with other antimicrobials for mycobacterial infections such as Multi-Drug resistant Tuberculosis and Non-Tuberculosis Mycobacterium, under the guidance of Infectious Diseases.</w:t>
      </w:r>
    </w:p>
    <w:p w14:paraId="6B1B165B" w14:textId="4ECC0F5A" w:rsidR="00617B64" w:rsidRPr="004070B8" w:rsidRDefault="00617B64" w:rsidP="00617B64">
      <w:pPr>
        <w:rPr>
          <w:rFonts w:asciiTheme="minorHAnsi" w:hAnsiTheme="minorHAnsi"/>
        </w:rPr>
      </w:pPr>
      <w:r w:rsidRPr="004070B8">
        <w:rPr>
          <w:rFonts w:asciiTheme="minorHAnsi" w:hAnsiTheme="minorHAnsi"/>
        </w:rPr>
        <w:t xml:space="preserve"> </w:t>
      </w:r>
    </w:p>
    <w:p w14:paraId="09359EDE" w14:textId="0C3FA878" w:rsidR="00617B64" w:rsidRDefault="00617B64" w:rsidP="00617B64">
      <w:pPr>
        <w:rPr>
          <w:rFonts w:asciiTheme="minorHAnsi" w:hAnsiTheme="minorHAnsi"/>
        </w:rPr>
      </w:pPr>
      <w:r w:rsidRPr="004070B8">
        <w:rPr>
          <w:rFonts w:asciiTheme="minorHAnsi" w:hAnsiTheme="minorHAnsi"/>
        </w:rPr>
        <w:t>There is limited data on the optimal dose and regimen for this indication and the choice of regimen will depend on the assessment of the individual patient by Infectious Diseases</w:t>
      </w:r>
      <w:r w:rsidR="004C2E75">
        <w:rPr>
          <w:rFonts w:asciiTheme="minorHAnsi" w:hAnsiTheme="minorHAnsi"/>
        </w:rPr>
        <w:t xml:space="preserve"> or Respiratory (if infection is pulmonary in origin)</w:t>
      </w:r>
      <w:r w:rsidRPr="004070B8">
        <w:rPr>
          <w:rFonts w:asciiTheme="minorHAnsi" w:hAnsiTheme="minorHAnsi"/>
        </w:rPr>
        <w:t>. The chosen regimen may differ from those listed below.</w:t>
      </w:r>
    </w:p>
    <w:p w14:paraId="13ACC26E" w14:textId="77777777" w:rsidR="00712C9A" w:rsidRPr="004070B8" w:rsidRDefault="00712C9A" w:rsidP="00617B64">
      <w:pPr>
        <w:rPr>
          <w:rFonts w:asciiTheme="minorHAnsi" w:hAnsiTheme="minorHAnsi"/>
        </w:rPr>
      </w:pPr>
    </w:p>
    <w:p w14:paraId="775D8EDC" w14:textId="77777777" w:rsidR="00DB410F" w:rsidRDefault="00DB410F" w:rsidP="004070B8">
      <w:pPr>
        <w:rPr>
          <w:rFonts w:asciiTheme="minorHAnsi" w:hAnsiTheme="minorHAnsi"/>
          <w:szCs w:val="24"/>
        </w:rPr>
      </w:pPr>
    </w:p>
    <w:p w14:paraId="691C5D39" w14:textId="2160A9AC" w:rsidR="00617B64" w:rsidRDefault="00617B64" w:rsidP="004070B8">
      <w:pPr>
        <w:rPr>
          <w:rFonts w:asciiTheme="minorHAnsi" w:hAnsiTheme="minorHAnsi"/>
          <w:szCs w:val="24"/>
        </w:rPr>
      </w:pPr>
      <w:r w:rsidRPr="004070B8">
        <w:rPr>
          <w:rFonts w:asciiTheme="minorHAnsi" w:hAnsiTheme="minorHAnsi"/>
          <w:szCs w:val="24"/>
        </w:rPr>
        <w:lastRenderedPageBreak/>
        <w:t>Commonly used starting doses for amikacin</w:t>
      </w:r>
      <w:r w:rsidR="00712C9A">
        <w:rPr>
          <w:rFonts w:asciiTheme="minorHAnsi" w:hAnsiTheme="minorHAnsi"/>
          <w:szCs w:val="24"/>
        </w:rPr>
        <w:t xml:space="preserve"> (using Ideal Body Weight – see </w:t>
      </w:r>
      <w:hyperlink w:anchor="_Appendix" w:history="1">
        <w:r w:rsidR="00FC5675" w:rsidRPr="00712C9A">
          <w:rPr>
            <w:rStyle w:val="Hyperlink"/>
            <w:rFonts w:asciiTheme="minorHAnsi" w:hAnsiTheme="minorHAnsi"/>
            <w:szCs w:val="24"/>
          </w:rPr>
          <w:t>Appendix</w:t>
        </w:r>
      </w:hyperlink>
      <w:r w:rsidR="00FC5675">
        <w:rPr>
          <w:rStyle w:val="Hyperlink"/>
          <w:rFonts w:asciiTheme="minorHAnsi" w:hAnsiTheme="minorHAnsi"/>
          <w:szCs w:val="24"/>
        </w:rPr>
        <w:t xml:space="preserve"> 1</w:t>
      </w:r>
      <w:r w:rsidR="00712C9A">
        <w:rPr>
          <w:rFonts w:asciiTheme="minorHAnsi" w:hAnsiTheme="minorHAnsi"/>
          <w:szCs w:val="24"/>
        </w:rPr>
        <w:t>)</w:t>
      </w:r>
      <w:r w:rsidRPr="004070B8">
        <w:rPr>
          <w:rFonts w:asciiTheme="minorHAnsi" w:hAnsiTheme="minorHAnsi"/>
          <w:szCs w:val="24"/>
        </w:rPr>
        <w:t>:</w:t>
      </w:r>
    </w:p>
    <w:p w14:paraId="003144DA" w14:textId="77777777" w:rsidR="00DC660A" w:rsidRPr="004070B8" w:rsidRDefault="00DC660A" w:rsidP="004070B8">
      <w:pPr>
        <w:rPr>
          <w:rFonts w:asciiTheme="minorHAnsi" w:hAnsiTheme="minorHAnsi"/>
          <w:szCs w:val="24"/>
        </w:rPr>
      </w:pPr>
    </w:p>
    <w:p w14:paraId="4D0F9BF6" w14:textId="19D6F809" w:rsidR="005914D3" w:rsidRDefault="00617B64" w:rsidP="00617B64">
      <w:pPr>
        <w:jc w:val="center"/>
        <w:rPr>
          <w:rFonts w:asciiTheme="minorHAnsi" w:hAnsiTheme="minorHAnsi"/>
          <w:szCs w:val="24"/>
        </w:rPr>
      </w:pPr>
      <w:r w:rsidRPr="004070B8">
        <w:rPr>
          <w:rFonts w:asciiTheme="minorHAnsi" w:hAnsiTheme="minorHAnsi"/>
          <w:szCs w:val="24"/>
        </w:rPr>
        <w:t>10-15 mg/kg daily 5-7 days a week</w:t>
      </w:r>
      <w:r w:rsidR="005914D3">
        <w:rPr>
          <w:rFonts w:asciiTheme="minorHAnsi" w:hAnsiTheme="minorHAnsi"/>
          <w:szCs w:val="24"/>
        </w:rPr>
        <w:t>*</w:t>
      </w:r>
      <w:r w:rsidRPr="004070B8">
        <w:rPr>
          <w:rFonts w:asciiTheme="minorHAnsi" w:hAnsiTheme="minorHAnsi"/>
          <w:szCs w:val="24"/>
        </w:rPr>
        <w:br/>
        <w:t xml:space="preserve">OR </w:t>
      </w:r>
      <w:r w:rsidRPr="004070B8">
        <w:rPr>
          <w:rFonts w:asciiTheme="minorHAnsi" w:hAnsiTheme="minorHAnsi"/>
          <w:szCs w:val="24"/>
        </w:rPr>
        <w:br/>
        <w:t>25 mg/kg 2-3 times a week (if CrCL</w:t>
      </w:r>
      <w:r w:rsidR="005914D3">
        <w:rPr>
          <w:rFonts w:asciiTheme="minorHAnsi" w:hAnsiTheme="minorHAnsi"/>
          <w:szCs w:val="24"/>
        </w:rPr>
        <w:t>≥</w:t>
      </w:r>
      <w:r w:rsidRPr="004070B8">
        <w:rPr>
          <w:rFonts w:asciiTheme="minorHAnsi" w:hAnsiTheme="minorHAnsi"/>
          <w:szCs w:val="24"/>
        </w:rPr>
        <w:t>50 ml/min)</w:t>
      </w:r>
      <w:r w:rsidR="005914D3">
        <w:rPr>
          <w:rFonts w:asciiTheme="minorHAnsi" w:hAnsiTheme="minorHAnsi"/>
          <w:szCs w:val="24"/>
        </w:rPr>
        <w:t>*</w:t>
      </w:r>
      <w:r w:rsidR="006E05B5">
        <w:rPr>
          <w:rFonts w:asciiTheme="minorHAnsi" w:hAnsiTheme="minorHAnsi"/>
          <w:szCs w:val="24"/>
        </w:rPr>
        <w:t>*</w:t>
      </w:r>
      <w:r w:rsidR="00144CD9">
        <w:rPr>
          <w:rFonts w:asciiTheme="minorHAnsi" w:hAnsiTheme="minorHAnsi"/>
          <w:szCs w:val="24"/>
        </w:rPr>
        <w:br/>
      </w:r>
    </w:p>
    <w:p w14:paraId="57F6E613" w14:textId="4B4A6167" w:rsidR="005914D3" w:rsidRDefault="005914D3" w:rsidP="005914D3">
      <w:pPr>
        <w:rPr>
          <w:rFonts w:asciiTheme="minorHAnsi" w:hAnsiTheme="minorHAnsi"/>
          <w:szCs w:val="24"/>
        </w:rPr>
      </w:pPr>
      <w:r>
        <w:rPr>
          <w:rFonts w:asciiTheme="minorHAnsi" w:hAnsiTheme="minorHAnsi"/>
          <w:szCs w:val="24"/>
        </w:rPr>
        <w:t xml:space="preserve">*For dosage adjustment </w:t>
      </w:r>
      <w:r w:rsidR="004A636C">
        <w:rPr>
          <w:rFonts w:asciiTheme="minorHAnsi" w:hAnsiTheme="minorHAnsi"/>
          <w:szCs w:val="24"/>
        </w:rPr>
        <w:t>in renal impairment, see Table 5</w:t>
      </w:r>
      <w:r>
        <w:rPr>
          <w:rFonts w:asciiTheme="minorHAnsi" w:hAnsiTheme="minorHAnsi"/>
          <w:szCs w:val="24"/>
        </w:rPr>
        <w:t>.</w:t>
      </w:r>
    </w:p>
    <w:p w14:paraId="7D2B1D4F" w14:textId="0F6F8A0C" w:rsidR="00617B64" w:rsidRPr="004070B8" w:rsidRDefault="005914D3" w:rsidP="005914D3">
      <w:pPr>
        <w:rPr>
          <w:rFonts w:asciiTheme="minorHAnsi" w:hAnsiTheme="minorHAnsi"/>
          <w:szCs w:val="24"/>
        </w:rPr>
      </w:pPr>
      <w:r>
        <w:rPr>
          <w:rFonts w:asciiTheme="minorHAnsi" w:hAnsiTheme="minorHAnsi"/>
          <w:szCs w:val="24"/>
        </w:rPr>
        <w:t>**</w:t>
      </w:r>
      <w:r w:rsidR="00617B64" w:rsidRPr="004070B8">
        <w:rPr>
          <w:rFonts w:asciiTheme="minorHAnsi" w:hAnsiTheme="minorHAnsi"/>
          <w:szCs w:val="24"/>
        </w:rPr>
        <w:t xml:space="preserve">If </w:t>
      </w:r>
      <w:proofErr w:type="spellStart"/>
      <w:r w:rsidR="00617B64" w:rsidRPr="004070B8">
        <w:rPr>
          <w:rFonts w:asciiTheme="minorHAnsi" w:hAnsiTheme="minorHAnsi"/>
          <w:szCs w:val="24"/>
        </w:rPr>
        <w:t>CrCL</w:t>
      </w:r>
      <w:proofErr w:type="spellEnd"/>
      <w:r w:rsidR="00617B64" w:rsidRPr="004070B8">
        <w:rPr>
          <w:rFonts w:asciiTheme="minorHAnsi" w:hAnsiTheme="minorHAnsi"/>
          <w:szCs w:val="24"/>
        </w:rPr>
        <w:t xml:space="preserve"> &lt; 50 ml/min, renally adjust from a starting dose of 10-15mg/kg daily as per Table </w:t>
      </w:r>
      <w:r w:rsidR="004A636C">
        <w:rPr>
          <w:rFonts w:asciiTheme="minorHAnsi" w:hAnsiTheme="minorHAnsi"/>
          <w:szCs w:val="24"/>
        </w:rPr>
        <w:t>5</w:t>
      </w:r>
      <w:r>
        <w:rPr>
          <w:rFonts w:asciiTheme="minorHAnsi" w:hAnsiTheme="minorHAnsi"/>
          <w:szCs w:val="24"/>
        </w:rPr>
        <w:t>.</w:t>
      </w:r>
    </w:p>
    <w:p w14:paraId="7A104FCA" w14:textId="77777777" w:rsidR="00617B64" w:rsidRPr="004070B8" w:rsidRDefault="00617B64" w:rsidP="00617B64">
      <w:pPr>
        <w:jc w:val="center"/>
        <w:rPr>
          <w:rFonts w:asciiTheme="minorHAnsi" w:hAnsiTheme="minorHAnsi"/>
        </w:rPr>
      </w:pPr>
    </w:p>
    <w:p w14:paraId="4140BA00" w14:textId="4C99F7D8" w:rsidR="00617B64" w:rsidRPr="007C6707" w:rsidRDefault="00617B64" w:rsidP="00617B64">
      <w:pPr>
        <w:rPr>
          <w:rFonts w:asciiTheme="minorHAnsi" w:hAnsiTheme="minorHAnsi"/>
        </w:rPr>
      </w:pPr>
      <w:r w:rsidRPr="007C6707">
        <w:rPr>
          <w:rFonts w:asciiTheme="minorHAnsi" w:hAnsiTheme="minorHAnsi"/>
        </w:rPr>
        <w:t xml:space="preserve">Table </w:t>
      </w:r>
      <w:r w:rsidR="004A636C" w:rsidRPr="007C6707">
        <w:rPr>
          <w:rFonts w:asciiTheme="minorHAnsi" w:hAnsiTheme="minorHAnsi"/>
        </w:rPr>
        <w:t>5</w:t>
      </w:r>
      <w:r w:rsidRPr="007C6707">
        <w:rPr>
          <w:rFonts w:asciiTheme="minorHAnsi" w:hAnsiTheme="minorHAnsi"/>
        </w:rPr>
        <w:t xml:space="preserve">: Dosage adjustment of daily amikacin </w:t>
      </w:r>
      <w:r w:rsidR="005914D3" w:rsidRPr="007C6707">
        <w:rPr>
          <w:rFonts w:asciiTheme="minorHAnsi" w:hAnsiTheme="minorHAnsi"/>
        </w:rPr>
        <w:t>in</w:t>
      </w:r>
      <w:r w:rsidRPr="007C6707">
        <w:rPr>
          <w:rFonts w:asciiTheme="minorHAnsi" w:hAnsiTheme="minorHAnsi"/>
        </w:rPr>
        <w:t xml:space="preserve"> renal impairment for mycobacterial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9"/>
        <w:gridCol w:w="3015"/>
      </w:tblGrid>
      <w:tr w:rsidR="00617B64" w:rsidRPr="00244945" w14:paraId="1BA44636" w14:textId="77777777" w:rsidTr="00617B64">
        <w:tc>
          <w:tcPr>
            <w:tcW w:w="3080" w:type="dxa"/>
          </w:tcPr>
          <w:p w14:paraId="6B2C7A73" w14:textId="77777777" w:rsidR="00617B64" w:rsidRPr="004070B8" w:rsidRDefault="00617B64" w:rsidP="00617B64">
            <w:pPr>
              <w:rPr>
                <w:rFonts w:asciiTheme="minorHAnsi" w:hAnsiTheme="minorHAnsi"/>
                <w:sz w:val="22"/>
              </w:rPr>
            </w:pPr>
            <w:r w:rsidRPr="004070B8">
              <w:rPr>
                <w:rFonts w:asciiTheme="minorHAnsi" w:hAnsiTheme="minorHAnsi"/>
                <w:sz w:val="22"/>
              </w:rPr>
              <w:t>Renal function (</w:t>
            </w:r>
            <w:proofErr w:type="spellStart"/>
            <w:r w:rsidRPr="004070B8">
              <w:rPr>
                <w:rFonts w:asciiTheme="minorHAnsi" w:hAnsiTheme="minorHAnsi"/>
                <w:sz w:val="22"/>
              </w:rPr>
              <w:t>CrCL</w:t>
            </w:r>
            <w:proofErr w:type="spellEnd"/>
            <w:r w:rsidRPr="004070B8">
              <w:rPr>
                <w:rFonts w:asciiTheme="minorHAnsi" w:hAnsiTheme="minorHAnsi"/>
                <w:sz w:val="22"/>
              </w:rPr>
              <w:t>)</w:t>
            </w:r>
          </w:p>
        </w:tc>
        <w:tc>
          <w:tcPr>
            <w:tcW w:w="3081" w:type="dxa"/>
          </w:tcPr>
          <w:p w14:paraId="24626F90" w14:textId="77777777" w:rsidR="00617B64" w:rsidRPr="004070B8" w:rsidRDefault="00617B64" w:rsidP="00617B64">
            <w:pPr>
              <w:rPr>
                <w:rFonts w:asciiTheme="minorHAnsi" w:hAnsiTheme="minorHAnsi"/>
                <w:sz w:val="22"/>
              </w:rPr>
            </w:pPr>
            <w:r w:rsidRPr="004070B8">
              <w:rPr>
                <w:rFonts w:asciiTheme="minorHAnsi" w:hAnsiTheme="minorHAnsi"/>
                <w:sz w:val="22"/>
              </w:rPr>
              <w:t>Percentage of dose</w:t>
            </w:r>
          </w:p>
        </w:tc>
        <w:tc>
          <w:tcPr>
            <w:tcW w:w="3081" w:type="dxa"/>
          </w:tcPr>
          <w:p w14:paraId="6F5E9C6F" w14:textId="77777777" w:rsidR="00617B64" w:rsidRPr="004070B8" w:rsidRDefault="00617B64" w:rsidP="00617B64">
            <w:pPr>
              <w:rPr>
                <w:rFonts w:asciiTheme="minorHAnsi" w:hAnsiTheme="minorHAnsi"/>
                <w:sz w:val="22"/>
              </w:rPr>
            </w:pPr>
            <w:r w:rsidRPr="004070B8">
              <w:rPr>
                <w:rFonts w:asciiTheme="minorHAnsi" w:hAnsiTheme="minorHAnsi"/>
                <w:sz w:val="22"/>
              </w:rPr>
              <w:t>Dosing frequency</w:t>
            </w:r>
          </w:p>
        </w:tc>
      </w:tr>
      <w:tr w:rsidR="00617B64" w:rsidRPr="00244945" w14:paraId="29B359F5" w14:textId="77777777" w:rsidTr="00617B64">
        <w:trPr>
          <w:trHeight w:val="312"/>
        </w:trPr>
        <w:tc>
          <w:tcPr>
            <w:tcW w:w="3080" w:type="dxa"/>
          </w:tcPr>
          <w:p w14:paraId="08265113" w14:textId="77777777" w:rsidR="00617B64" w:rsidRPr="004070B8" w:rsidRDefault="00617B64" w:rsidP="00617B64">
            <w:pPr>
              <w:rPr>
                <w:rFonts w:asciiTheme="minorHAnsi" w:hAnsiTheme="minorHAnsi"/>
                <w:sz w:val="22"/>
              </w:rPr>
            </w:pPr>
            <w:r w:rsidRPr="004070B8">
              <w:rPr>
                <w:rFonts w:asciiTheme="minorHAnsi" w:hAnsiTheme="minorHAnsi"/>
                <w:sz w:val="22"/>
              </w:rPr>
              <w:t>&gt; 50 ml/min</w:t>
            </w:r>
          </w:p>
        </w:tc>
        <w:tc>
          <w:tcPr>
            <w:tcW w:w="3081" w:type="dxa"/>
          </w:tcPr>
          <w:p w14:paraId="4100F602" w14:textId="77777777" w:rsidR="00617B64" w:rsidRPr="004070B8" w:rsidRDefault="00617B64" w:rsidP="00617B64">
            <w:pPr>
              <w:rPr>
                <w:rFonts w:asciiTheme="minorHAnsi" w:hAnsiTheme="minorHAnsi"/>
                <w:sz w:val="22"/>
              </w:rPr>
            </w:pPr>
            <w:r w:rsidRPr="004070B8">
              <w:rPr>
                <w:rFonts w:asciiTheme="minorHAnsi" w:hAnsiTheme="minorHAnsi"/>
                <w:sz w:val="22"/>
              </w:rPr>
              <w:t>50-100%</w:t>
            </w:r>
          </w:p>
        </w:tc>
        <w:tc>
          <w:tcPr>
            <w:tcW w:w="3081" w:type="dxa"/>
          </w:tcPr>
          <w:p w14:paraId="5CEA75BA" w14:textId="77777777" w:rsidR="00617B64" w:rsidRPr="004070B8" w:rsidRDefault="00617B64" w:rsidP="00617B64">
            <w:pPr>
              <w:rPr>
                <w:rFonts w:asciiTheme="minorHAnsi" w:hAnsiTheme="minorHAnsi"/>
                <w:sz w:val="22"/>
              </w:rPr>
            </w:pPr>
            <w:r w:rsidRPr="004070B8">
              <w:rPr>
                <w:rFonts w:asciiTheme="minorHAnsi" w:hAnsiTheme="minorHAnsi"/>
                <w:sz w:val="22"/>
              </w:rPr>
              <w:t>24-hourly</w:t>
            </w:r>
          </w:p>
        </w:tc>
      </w:tr>
      <w:tr w:rsidR="00617B64" w:rsidRPr="00244945" w14:paraId="08496BC5" w14:textId="77777777" w:rsidTr="00617B64">
        <w:tc>
          <w:tcPr>
            <w:tcW w:w="3080" w:type="dxa"/>
          </w:tcPr>
          <w:p w14:paraId="608EC95E" w14:textId="77777777" w:rsidR="00617B64" w:rsidRPr="004070B8" w:rsidRDefault="00617B64" w:rsidP="00617B64">
            <w:pPr>
              <w:rPr>
                <w:rFonts w:asciiTheme="minorHAnsi" w:hAnsiTheme="minorHAnsi"/>
                <w:sz w:val="22"/>
              </w:rPr>
            </w:pPr>
            <w:r w:rsidRPr="004070B8">
              <w:rPr>
                <w:rFonts w:asciiTheme="minorHAnsi" w:hAnsiTheme="minorHAnsi"/>
                <w:sz w:val="22"/>
              </w:rPr>
              <w:t>10-50 ml/min</w:t>
            </w:r>
          </w:p>
        </w:tc>
        <w:tc>
          <w:tcPr>
            <w:tcW w:w="3081" w:type="dxa"/>
          </w:tcPr>
          <w:p w14:paraId="60D01248" w14:textId="77777777" w:rsidR="00617B64" w:rsidRPr="004070B8" w:rsidRDefault="00617B64" w:rsidP="00617B64">
            <w:pPr>
              <w:rPr>
                <w:rFonts w:asciiTheme="minorHAnsi" w:hAnsiTheme="minorHAnsi"/>
                <w:sz w:val="22"/>
              </w:rPr>
            </w:pPr>
            <w:r w:rsidRPr="004070B8">
              <w:rPr>
                <w:rFonts w:asciiTheme="minorHAnsi" w:hAnsiTheme="minorHAnsi"/>
                <w:sz w:val="22"/>
              </w:rPr>
              <w:t>50%</w:t>
            </w:r>
          </w:p>
        </w:tc>
        <w:tc>
          <w:tcPr>
            <w:tcW w:w="3081" w:type="dxa"/>
          </w:tcPr>
          <w:p w14:paraId="295A4D04" w14:textId="77777777" w:rsidR="00617B64" w:rsidRPr="004070B8" w:rsidRDefault="00617B64" w:rsidP="00617B64">
            <w:pPr>
              <w:rPr>
                <w:rFonts w:asciiTheme="minorHAnsi" w:hAnsiTheme="minorHAnsi"/>
                <w:sz w:val="22"/>
              </w:rPr>
            </w:pPr>
            <w:r w:rsidRPr="004070B8">
              <w:rPr>
                <w:rFonts w:asciiTheme="minorHAnsi" w:hAnsiTheme="minorHAnsi"/>
                <w:sz w:val="22"/>
              </w:rPr>
              <w:t>48-hourly</w:t>
            </w:r>
          </w:p>
        </w:tc>
      </w:tr>
      <w:tr w:rsidR="00617B64" w:rsidRPr="00244945" w14:paraId="77520158" w14:textId="77777777" w:rsidTr="00617B64">
        <w:tc>
          <w:tcPr>
            <w:tcW w:w="3080" w:type="dxa"/>
          </w:tcPr>
          <w:p w14:paraId="03B82BD4" w14:textId="77777777" w:rsidR="00617B64" w:rsidRPr="004070B8" w:rsidRDefault="00617B64" w:rsidP="00617B64">
            <w:pPr>
              <w:rPr>
                <w:rFonts w:asciiTheme="minorHAnsi" w:hAnsiTheme="minorHAnsi"/>
                <w:sz w:val="22"/>
              </w:rPr>
            </w:pPr>
            <w:r w:rsidRPr="004070B8">
              <w:rPr>
                <w:rFonts w:asciiTheme="minorHAnsi" w:hAnsiTheme="minorHAnsi"/>
                <w:sz w:val="22"/>
              </w:rPr>
              <w:t>&lt;10 ml/min</w:t>
            </w:r>
          </w:p>
        </w:tc>
        <w:tc>
          <w:tcPr>
            <w:tcW w:w="3081" w:type="dxa"/>
          </w:tcPr>
          <w:p w14:paraId="4B760D87" w14:textId="77777777" w:rsidR="00617B64" w:rsidRPr="004070B8" w:rsidRDefault="00617B64" w:rsidP="00617B64">
            <w:pPr>
              <w:rPr>
                <w:rFonts w:asciiTheme="minorHAnsi" w:hAnsiTheme="minorHAnsi"/>
                <w:sz w:val="22"/>
              </w:rPr>
            </w:pPr>
            <w:r w:rsidRPr="004070B8">
              <w:rPr>
                <w:rFonts w:asciiTheme="minorHAnsi" w:hAnsiTheme="minorHAnsi"/>
                <w:sz w:val="22"/>
              </w:rPr>
              <w:t>30%</w:t>
            </w:r>
          </w:p>
        </w:tc>
        <w:tc>
          <w:tcPr>
            <w:tcW w:w="3081" w:type="dxa"/>
          </w:tcPr>
          <w:p w14:paraId="0AF1BFA6" w14:textId="77777777" w:rsidR="00617B64" w:rsidRPr="004070B8" w:rsidRDefault="00617B64" w:rsidP="00617B64">
            <w:pPr>
              <w:rPr>
                <w:rFonts w:asciiTheme="minorHAnsi" w:hAnsiTheme="minorHAnsi"/>
                <w:sz w:val="22"/>
              </w:rPr>
            </w:pPr>
            <w:r w:rsidRPr="004070B8">
              <w:rPr>
                <w:rFonts w:asciiTheme="minorHAnsi" w:hAnsiTheme="minorHAnsi"/>
                <w:sz w:val="22"/>
              </w:rPr>
              <w:t>48-hourly</w:t>
            </w:r>
          </w:p>
        </w:tc>
      </w:tr>
      <w:tr w:rsidR="00617B64" w:rsidRPr="00244945" w14:paraId="4B7659F7" w14:textId="77777777" w:rsidTr="00617B64">
        <w:tc>
          <w:tcPr>
            <w:tcW w:w="3080" w:type="dxa"/>
          </w:tcPr>
          <w:p w14:paraId="200A7618" w14:textId="77777777" w:rsidR="00617B64" w:rsidRPr="004070B8" w:rsidRDefault="00617B64" w:rsidP="00617B64">
            <w:pPr>
              <w:rPr>
                <w:rFonts w:asciiTheme="minorHAnsi" w:hAnsiTheme="minorHAnsi"/>
                <w:sz w:val="22"/>
              </w:rPr>
            </w:pPr>
            <w:r w:rsidRPr="004070B8">
              <w:rPr>
                <w:rFonts w:asciiTheme="minorHAnsi" w:hAnsiTheme="minorHAnsi"/>
                <w:sz w:val="22"/>
              </w:rPr>
              <w:t>Dialysis/Renal Replacement therapy</w:t>
            </w:r>
          </w:p>
        </w:tc>
        <w:tc>
          <w:tcPr>
            <w:tcW w:w="6162" w:type="dxa"/>
            <w:gridSpan w:val="2"/>
          </w:tcPr>
          <w:p w14:paraId="4C614A90" w14:textId="77777777" w:rsidR="00617B64" w:rsidRPr="004070B8" w:rsidRDefault="00617B64" w:rsidP="00617B64">
            <w:pPr>
              <w:rPr>
                <w:rFonts w:asciiTheme="minorHAnsi" w:hAnsiTheme="minorHAnsi"/>
                <w:sz w:val="22"/>
              </w:rPr>
            </w:pPr>
            <w:r w:rsidRPr="004070B8">
              <w:rPr>
                <w:rFonts w:asciiTheme="minorHAnsi" w:hAnsiTheme="minorHAnsi"/>
                <w:sz w:val="22"/>
              </w:rPr>
              <w:t>Seek expert advice</w:t>
            </w:r>
          </w:p>
        </w:tc>
      </w:tr>
    </w:tbl>
    <w:p w14:paraId="166648E7" w14:textId="3ED79E37" w:rsidR="00AB507B" w:rsidRDefault="00AB507B">
      <w:pPr>
        <w:rPr>
          <w:rFonts w:asciiTheme="minorHAnsi" w:hAnsiTheme="minorHAnsi" w:cstheme="minorHAnsi"/>
          <w:b/>
          <w:szCs w:val="24"/>
        </w:rPr>
      </w:pPr>
    </w:p>
    <w:p w14:paraId="0000A135" w14:textId="33351598" w:rsidR="007C6707" w:rsidRDefault="00CE5172" w:rsidP="007C6707">
      <w:pPr>
        <w:jc w:val="right"/>
        <w:rPr>
          <w:rFonts w:asciiTheme="minorHAnsi" w:hAnsiTheme="minorHAnsi" w:cstheme="minorHAnsi"/>
          <w:b/>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17B64" w:rsidRPr="001B2BAC" w14:paraId="524D4EEC" w14:textId="77777777" w:rsidTr="007C6707">
        <w:trPr>
          <w:cantSplit/>
          <w:trHeight w:val="285"/>
        </w:trPr>
        <w:tc>
          <w:tcPr>
            <w:tcW w:w="9158" w:type="dxa"/>
            <w:shd w:val="clear" w:color="auto" w:fill="CCCCCC"/>
          </w:tcPr>
          <w:p w14:paraId="6D07762B" w14:textId="375F33C0" w:rsidR="00617B64" w:rsidRPr="001502DF" w:rsidRDefault="008741DB" w:rsidP="007C6707">
            <w:pPr>
              <w:pStyle w:val="Heading1"/>
              <w:framePr w:hSpace="0" w:wrap="auto" w:vAnchor="margin" w:hAnchor="text" w:xAlign="left" w:yAlign="inline"/>
            </w:pPr>
            <w:bookmarkStart w:id="22" w:name="_Toc38371905"/>
            <w:r>
              <w:t xml:space="preserve">Section 2: </w:t>
            </w:r>
            <w:r w:rsidR="00DC660A">
              <w:t>Monitoring and prescribing of subsequent doses</w:t>
            </w:r>
            <w:bookmarkEnd w:id="22"/>
          </w:p>
        </w:tc>
      </w:tr>
    </w:tbl>
    <w:p w14:paraId="7AD9A4F3" w14:textId="77777777" w:rsidR="0078539E" w:rsidRPr="0078539E" w:rsidRDefault="0078539E" w:rsidP="0078539E">
      <w:pPr>
        <w:pStyle w:val="ListParagraph"/>
        <w:jc w:val="both"/>
        <w:rPr>
          <w:rFonts w:asciiTheme="minorHAnsi" w:hAnsiTheme="minorHAnsi" w:cstheme="minorHAnsi"/>
          <w:b/>
          <w:szCs w:val="24"/>
        </w:rPr>
      </w:pPr>
    </w:p>
    <w:p w14:paraId="0A99E9BA" w14:textId="0557CC03" w:rsidR="00DC660A" w:rsidRDefault="00DC660A" w:rsidP="00DC660A">
      <w:pPr>
        <w:rPr>
          <w:rFonts w:asciiTheme="minorHAnsi" w:hAnsiTheme="minorHAnsi"/>
        </w:rPr>
      </w:pPr>
      <w:r w:rsidRPr="004070B8">
        <w:rPr>
          <w:rFonts w:asciiTheme="minorHAnsi" w:hAnsiTheme="minorHAnsi"/>
        </w:rPr>
        <w:t>Ongoing dosing should be determined by Therapeutic Drug Monitoring (TDM). The aim of</w:t>
      </w:r>
      <w:r>
        <w:t xml:space="preserve"> </w:t>
      </w:r>
      <w:r w:rsidRPr="004070B8">
        <w:rPr>
          <w:rFonts w:asciiTheme="minorHAnsi" w:hAnsiTheme="minorHAnsi"/>
        </w:rPr>
        <w:t>TDM is to ensure the dose is adequate and to avoid excessive drug exposure.</w:t>
      </w:r>
      <w:r w:rsidR="00DC6C5C" w:rsidRPr="00DC6C5C">
        <w:rPr>
          <w:rFonts w:asciiTheme="minorHAnsi" w:hAnsiTheme="minorHAnsi"/>
        </w:rPr>
        <w:t xml:space="preserve"> </w:t>
      </w:r>
      <w:r w:rsidR="00DC6C5C" w:rsidRPr="00972569">
        <w:rPr>
          <w:rFonts w:asciiTheme="minorHAnsi" w:hAnsiTheme="minorHAnsi"/>
        </w:rPr>
        <w:t xml:space="preserve">Monitoring </w:t>
      </w:r>
      <w:r w:rsidR="006E05B5">
        <w:rPr>
          <w:rFonts w:asciiTheme="minorHAnsi" w:hAnsiTheme="minorHAnsi"/>
        </w:rPr>
        <w:t xml:space="preserve">should ideally occur </w:t>
      </w:r>
      <w:r w:rsidR="00DC6C5C" w:rsidRPr="00972569">
        <w:rPr>
          <w:rFonts w:asciiTheme="minorHAnsi" w:hAnsiTheme="minorHAnsi"/>
        </w:rPr>
        <w:t>after the first dose in all patients</w:t>
      </w:r>
      <w:r w:rsidR="00DC6C5C">
        <w:rPr>
          <w:rFonts w:asciiTheme="minorHAnsi" w:hAnsiTheme="minorHAnsi"/>
        </w:rPr>
        <w:t>.</w:t>
      </w:r>
    </w:p>
    <w:p w14:paraId="168A298F" w14:textId="77777777" w:rsidR="007C6707" w:rsidRDefault="007C6707" w:rsidP="00DC660A">
      <w:pPr>
        <w:rPr>
          <w:rFonts w:asciiTheme="minorHAnsi" w:hAnsiTheme="minorHAnsi"/>
        </w:rPr>
      </w:pPr>
    </w:p>
    <w:p w14:paraId="1D754265" w14:textId="77777777" w:rsidR="00DC6C5C" w:rsidRDefault="00DC660A" w:rsidP="004070B8">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4070B8">
        <w:rPr>
          <w:rFonts w:asciiTheme="minorHAnsi" w:hAnsiTheme="minorHAnsi" w:cs="Arial"/>
          <w:b/>
          <w:szCs w:val="24"/>
        </w:rPr>
        <w:t>Alert:</w:t>
      </w:r>
      <w:r>
        <w:rPr>
          <w:rFonts w:asciiTheme="minorHAnsi" w:hAnsiTheme="minorHAnsi" w:cs="Arial"/>
          <w:b/>
          <w:szCs w:val="24"/>
        </w:rPr>
        <w:t xml:space="preserve"> </w:t>
      </w:r>
    </w:p>
    <w:p w14:paraId="40ECA510" w14:textId="7CFAE778" w:rsidR="00DC6C5C" w:rsidRPr="007C6707" w:rsidRDefault="006E05B5" w:rsidP="005A2A5C">
      <w:pPr>
        <w:pStyle w:val="ListParagraph"/>
        <w:numPr>
          <w:ilvl w:val="0"/>
          <w:numId w:val="24"/>
        </w:numPr>
        <w:pBdr>
          <w:top w:val="single" w:sz="4" w:space="1" w:color="auto"/>
          <w:left w:val="single" w:sz="4" w:space="4" w:color="auto"/>
          <w:bottom w:val="single" w:sz="4" w:space="1" w:color="auto"/>
          <w:right w:val="single" w:sz="4" w:space="4" w:color="auto"/>
        </w:pBdr>
        <w:rPr>
          <w:rFonts w:asciiTheme="minorHAnsi" w:hAnsiTheme="minorHAnsi"/>
        </w:rPr>
      </w:pPr>
      <w:r w:rsidRPr="007C6707">
        <w:rPr>
          <w:rFonts w:asciiTheme="minorHAnsi" w:hAnsiTheme="minorHAnsi"/>
        </w:rPr>
        <w:t xml:space="preserve">For </w:t>
      </w:r>
      <w:r w:rsidR="00DC660A" w:rsidRPr="007C6707">
        <w:rPr>
          <w:rFonts w:asciiTheme="minorHAnsi" w:hAnsiTheme="minorHAnsi"/>
        </w:rPr>
        <w:t xml:space="preserve">patients with severe sepsis </w:t>
      </w:r>
      <w:r w:rsidR="00712C9A" w:rsidRPr="007C6707">
        <w:rPr>
          <w:rFonts w:asciiTheme="minorHAnsi" w:hAnsiTheme="minorHAnsi"/>
        </w:rPr>
        <w:t xml:space="preserve">or </w:t>
      </w:r>
      <w:r w:rsidR="00DC660A" w:rsidRPr="007C6707">
        <w:rPr>
          <w:rFonts w:asciiTheme="minorHAnsi" w:hAnsiTheme="minorHAnsi"/>
        </w:rPr>
        <w:t>renal impairment</w:t>
      </w:r>
      <w:r w:rsidRPr="007C6707">
        <w:rPr>
          <w:rFonts w:asciiTheme="minorHAnsi" w:hAnsiTheme="minorHAnsi"/>
        </w:rPr>
        <w:t>, TDM after the first dose is mandatory</w:t>
      </w:r>
    </w:p>
    <w:p w14:paraId="09FA4909" w14:textId="408ED197" w:rsidR="006E05B5" w:rsidRPr="007C6707" w:rsidRDefault="00DC660A" w:rsidP="005A2A5C">
      <w:pPr>
        <w:pStyle w:val="ListParagraph"/>
        <w:numPr>
          <w:ilvl w:val="0"/>
          <w:numId w:val="24"/>
        </w:numPr>
        <w:pBdr>
          <w:top w:val="single" w:sz="4" w:space="1" w:color="auto"/>
          <w:left w:val="single" w:sz="4" w:space="4" w:color="auto"/>
          <w:bottom w:val="single" w:sz="4" w:space="1" w:color="auto"/>
          <w:right w:val="single" w:sz="4" w:space="4" w:color="auto"/>
        </w:pBdr>
        <w:rPr>
          <w:rFonts w:asciiTheme="minorHAnsi" w:hAnsiTheme="minorHAnsi"/>
        </w:rPr>
      </w:pPr>
      <w:r w:rsidRPr="007C6707">
        <w:rPr>
          <w:rFonts w:asciiTheme="minorHAnsi" w:hAnsiTheme="minorHAnsi"/>
        </w:rPr>
        <w:t xml:space="preserve">In patients with </w:t>
      </w:r>
      <w:proofErr w:type="spellStart"/>
      <w:r w:rsidRPr="007C6707">
        <w:rPr>
          <w:rFonts w:asciiTheme="minorHAnsi" w:hAnsiTheme="minorHAnsi"/>
        </w:rPr>
        <w:t>CrCL</w:t>
      </w:r>
      <w:proofErr w:type="spellEnd"/>
      <w:r w:rsidR="00712C9A" w:rsidRPr="007C6707">
        <w:rPr>
          <w:rFonts w:asciiTheme="minorHAnsi" w:hAnsiTheme="minorHAnsi"/>
        </w:rPr>
        <w:t>&lt;</w:t>
      </w:r>
      <w:r w:rsidRPr="007C6707">
        <w:rPr>
          <w:rFonts w:asciiTheme="minorHAnsi" w:hAnsiTheme="minorHAnsi"/>
        </w:rPr>
        <w:t>40ml/min, aminoglycosides should not be continued</w:t>
      </w:r>
      <w:r w:rsidR="00712C9A" w:rsidRPr="007C6707">
        <w:rPr>
          <w:rFonts w:asciiTheme="minorHAnsi" w:hAnsiTheme="minorHAnsi"/>
        </w:rPr>
        <w:t xml:space="preserve"> after the first dose</w:t>
      </w:r>
      <w:r w:rsidRPr="007C6707">
        <w:rPr>
          <w:rFonts w:asciiTheme="minorHAnsi" w:hAnsiTheme="minorHAnsi"/>
        </w:rPr>
        <w:t xml:space="preserve"> unless on the advice of the renal unit</w:t>
      </w:r>
      <w:r w:rsidR="006E05B5" w:rsidRPr="007C6707">
        <w:rPr>
          <w:rFonts w:asciiTheme="minorHAnsi" w:hAnsiTheme="minorHAnsi"/>
        </w:rPr>
        <w:t xml:space="preserve"> </w:t>
      </w:r>
    </w:p>
    <w:p w14:paraId="4C38567A" w14:textId="420B7661" w:rsidR="00DC660A" w:rsidRPr="007C6707" w:rsidRDefault="006E05B5" w:rsidP="005A2A5C">
      <w:pPr>
        <w:pStyle w:val="ListParagraph"/>
        <w:numPr>
          <w:ilvl w:val="0"/>
          <w:numId w:val="24"/>
        </w:numPr>
        <w:pBdr>
          <w:top w:val="single" w:sz="4" w:space="1" w:color="auto"/>
          <w:left w:val="single" w:sz="4" w:space="4" w:color="auto"/>
          <w:bottom w:val="single" w:sz="4" w:space="1" w:color="auto"/>
          <w:right w:val="single" w:sz="4" w:space="4" w:color="auto"/>
        </w:pBdr>
        <w:rPr>
          <w:rFonts w:asciiTheme="minorHAnsi" w:hAnsiTheme="minorHAnsi"/>
        </w:rPr>
      </w:pPr>
      <w:r w:rsidRPr="007C6707">
        <w:rPr>
          <w:rFonts w:asciiTheme="minorHAnsi" w:hAnsiTheme="minorHAnsi"/>
        </w:rPr>
        <w:t>Consult your pharmacist if the renal unit has approved ongoing aminoglycoside use in a patient undergoing haemodialysis or another form of renal replacement therapy</w:t>
      </w:r>
    </w:p>
    <w:p w14:paraId="285A579F" w14:textId="77777777" w:rsidR="00DC660A" w:rsidRDefault="00DC660A" w:rsidP="00DC660A">
      <w:pPr>
        <w:rPr>
          <w:rFonts w:asciiTheme="minorHAnsi" w:hAnsiTheme="minorHAnsi"/>
        </w:rPr>
      </w:pPr>
    </w:p>
    <w:p w14:paraId="200EB2CE" w14:textId="4D3A4360" w:rsidR="006E05B5" w:rsidRPr="006E05B5" w:rsidRDefault="006E05B5" w:rsidP="005A2A5C">
      <w:pPr>
        <w:pStyle w:val="ListParagraph"/>
        <w:numPr>
          <w:ilvl w:val="0"/>
          <w:numId w:val="22"/>
        </w:numPr>
        <w:rPr>
          <w:rFonts w:asciiTheme="minorHAnsi" w:hAnsiTheme="minorHAnsi"/>
        </w:rPr>
      </w:pPr>
      <w:r w:rsidRPr="006E05B5">
        <w:rPr>
          <w:rFonts w:asciiTheme="minorHAnsi" w:hAnsiTheme="minorHAnsi"/>
        </w:rPr>
        <w:t>For all other patients groups, TDM is mandatory if receiving more than 48 hours of therapy, but should ideally occur after the first dose</w:t>
      </w:r>
    </w:p>
    <w:p w14:paraId="33D3AF62" w14:textId="77777777" w:rsidR="006E05B5" w:rsidRPr="006E05B5" w:rsidRDefault="00DC660A" w:rsidP="005A2A5C">
      <w:pPr>
        <w:pStyle w:val="ListParagraph"/>
        <w:numPr>
          <w:ilvl w:val="0"/>
          <w:numId w:val="22"/>
        </w:numPr>
        <w:rPr>
          <w:rFonts w:asciiTheme="minorHAnsi" w:hAnsiTheme="minorHAnsi"/>
        </w:rPr>
      </w:pPr>
      <w:r w:rsidRPr="004070B8">
        <w:rPr>
          <w:rFonts w:asciiTheme="minorHAnsi" w:hAnsiTheme="minorHAnsi"/>
        </w:rPr>
        <w:t>Therapeutic drug monitoring is not required for single dose treatment only, such as surgical prophylaxis</w:t>
      </w:r>
    </w:p>
    <w:p w14:paraId="2E042A88" w14:textId="134F3E93" w:rsidR="00DC660A" w:rsidRDefault="00DC660A" w:rsidP="005A2A5C">
      <w:pPr>
        <w:pStyle w:val="ListParagraph"/>
        <w:numPr>
          <w:ilvl w:val="0"/>
          <w:numId w:val="22"/>
        </w:numPr>
        <w:rPr>
          <w:rFonts w:asciiTheme="minorHAnsi" w:hAnsiTheme="minorHAnsi"/>
        </w:rPr>
      </w:pPr>
      <w:r w:rsidRPr="004070B8">
        <w:rPr>
          <w:rFonts w:asciiTheme="minorHAnsi" w:hAnsiTheme="minorHAnsi"/>
        </w:rPr>
        <w:t>Second daily dosing is also not recommended, consult AMS if adequate exposure cannot be safely achieved with daily dosing</w:t>
      </w:r>
    </w:p>
    <w:p w14:paraId="7C22180E" w14:textId="77777777" w:rsidR="009E4D54" w:rsidRDefault="009E4D54" w:rsidP="009E4D54">
      <w:pPr>
        <w:rPr>
          <w:rFonts w:asciiTheme="minorHAnsi" w:hAnsiTheme="minorHAnsi"/>
        </w:rPr>
      </w:pPr>
    </w:p>
    <w:p w14:paraId="581055DF" w14:textId="659FE442" w:rsidR="009E4D54" w:rsidRDefault="007219E4" w:rsidP="009E4D54">
      <w:pPr>
        <w:rPr>
          <w:rFonts w:asciiTheme="minorHAnsi" w:hAnsiTheme="minorHAnsi"/>
          <w:b/>
        </w:rPr>
      </w:pPr>
      <w:r>
        <w:rPr>
          <w:rFonts w:asciiTheme="minorHAnsi" w:hAnsiTheme="minorHAnsi"/>
          <w:b/>
        </w:rPr>
        <w:t xml:space="preserve">Unique indications: </w:t>
      </w:r>
      <w:r w:rsidR="009E4D54">
        <w:rPr>
          <w:rFonts w:asciiTheme="minorHAnsi" w:hAnsiTheme="minorHAnsi"/>
          <w:b/>
        </w:rPr>
        <w:t>Endocarditis and mycobacterial infections</w:t>
      </w:r>
    </w:p>
    <w:p w14:paraId="7903BE37" w14:textId="21DB945A" w:rsidR="009E4D54" w:rsidRPr="009E4D54" w:rsidRDefault="009E4D54" w:rsidP="009E4D54">
      <w:pPr>
        <w:rPr>
          <w:rFonts w:asciiTheme="minorHAnsi" w:hAnsiTheme="minorHAnsi"/>
        </w:rPr>
      </w:pPr>
      <w:r>
        <w:rPr>
          <w:rFonts w:asciiTheme="minorHAnsi" w:hAnsiTheme="minorHAnsi"/>
        </w:rPr>
        <w:t xml:space="preserve">These patient groups have unique TDM requirements, </w:t>
      </w:r>
      <w:r w:rsidR="003366C3">
        <w:rPr>
          <w:rFonts w:asciiTheme="minorHAnsi" w:hAnsiTheme="minorHAnsi"/>
        </w:rPr>
        <w:t xml:space="preserve">refer to </w:t>
      </w:r>
      <w:hyperlink w:anchor="_Section_2.3:_TDM" w:history="1">
        <w:r w:rsidR="003366C3" w:rsidRPr="009E4D54">
          <w:rPr>
            <w:rStyle w:val="Hyperlink"/>
            <w:rFonts w:asciiTheme="minorHAnsi" w:hAnsiTheme="minorHAnsi"/>
          </w:rPr>
          <w:t>Section 2.3</w:t>
        </w:r>
      </w:hyperlink>
      <w:r w:rsidR="003366C3">
        <w:rPr>
          <w:rFonts w:asciiTheme="minorHAnsi" w:hAnsiTheme="minorHAnsi"/>
        </w:rPr>
        <w:t>.</w:t>
      </w:r>
    </w:p>
    <w:p w14:paraId="191F125E" w14:textId="77777777" w:rsidR="009E4D54" w:rsidRDefault="009E4D54" w:rsidP="009E4D54">
      <w:pPr>
        <w:rPr>
          <w:rFonts w:asciiTheme="minorHAnsi" w:hAnsiTheme="minorHAnsi"/>
        </w:rPr>
      </w:pPr>
    </w:p>
    <w:p w14:paraId="03476A40" w14:textId="7048BE36" w:rsidR="00A020AB" w:rsidRPr="007219E4" w:rsidRDefault="00A020AB" w:rsidP="009E4D54">
      <w:pPr>
        <w:rPr>
          <w:rFonts w:asciiTheme="minorHAnsi" w:hAnsiTheme="minorHAnsi"/>
          <w:b/>
        </w:rPr>
      </w:pPr>
      <w:r w:rsidRPr="007219E4">
        <w:rPr>
          <w:rFonts w:asciiTheme="minorHAnsi" w:hAnsiTheme="minorHAnsi"/>
          <w:b/>
        </w:rPr>
        <w:lastRenderedPageBreak/>
        <w:t xml:space="preserve">Amikacin </w:t>
      </w:r>
      <w:r w:rsidR="007219E4">
        <w:rPr>
          <w:rFonts w:asciiTheme="minorHAnsi" w:hAnsiTheme="minorHAnsi"/>
          <w:b/>
        </w:rPr>
        <w:t xml:space="preserve">therapy </w:t>
      </w:r>
      <w:r w:rsidR="007219E4" w:rsidRPr="007219E4">
        <w:rPr>
          <w:rFonts w:asciiTheme="minorHAnsi" w:hAnsiTheme="minorHAnsi"/>
          <w:b/>
        </w:rPr>
        <w:t xml:space="preserve">(not for unique indications) </w:t>
      </w:r>
      <w:r w:rsidRPr="007219E4">
        <w:rPr>
          <w:rFonts w:asciiTheme="minorHAnsi" w:hAnsiTheme="minorHAnsi"/>
          <w:b/>
        </w:rPr>
        <w:t xml:space="preserve">and patients with altered pharmacokinetics </w:t>
      </w:r>
    </w:p>
    <w:p w14:paraId="6EFED417" w14:textId="1656D4D7" w:rsidR="009E4D54" w:rsidRDefault="009E4D54" w:rsidP="009E4D54">
      <w:pPr>
        <w:rPr>
          <w:rFonts w:asciiTheme="minorHAnsi" w:hAnsiTheme="minorHAnsi"/>
        </w:rPr>
      </w:pPr>
      <w:r>
        <w:rPr>
          <w:rFonts w:asciiTheme="minorHAnsi" w:hAnsiTheme="minorHAnsi"/>
        </w:rPr>
        <w:t xml:space="preserve">If your patient fits into the following categories, </w:t>
      </w:r>
      <w:r w:rsidR="002B2FD7">
        <w:rPr>
          <w:rFonts w:asciiTheme="minorHAnsi" w:hAnsiTheme="minorHAnsi"/>
        </w:rPr>
        <w:t xml:space="preserve">refer to </w:t>
      </w:r>
      <w:hyperlink w:anchor="_Section_2.2:_Two-Sample" w:history="1">
        <w:r w:rsidR="002B2FD7" w:rsidRPr="007219E4">
          <w:rPr>
            <w:rStyle w:val="Hyperlink"/>
            <w:rFonts w:asciiTheme="minorHAnsi" w:hAnsiTheme="minorHAnsi"/>
          </w:rPr>
          <w:t>Section 2.2: Two sample TDM</w:t>
        </w:r>
      </w:hyperlink>
      <w:r w:rsidR="003A1069">
        <w:rPr>
          <w:rFonts w:asciiTheme="minorHAnsi" w:hAnsiTheme="minorHAnsi"/>
        </w:rPr>
        <w:t xml:space="preserve">. </w:t>
      </w:r>
    </w:p>
    <w:p w14:paraId="44D06AAA" w14:textId="77777777" w:rsidR="009E4D54" w:rsidRPr="00181A6A" w:rsidRDefault="009E4D54" w:rsidP="005A2A5C">
      <w:pPr>
        <w:pStyle w:val="ListParagraph"/>
        <w:numPr>
          <w:ilvl w:val="0"/>
          <w:numId w:val="17"/>
        </w:numPr>
        <w:spacing w:after="200"/>
        <w:rPr>
          <w:rFonts w:asciiTheme="minorHAnsi" w:hAnsiTheme="minorHAnsi" w:cs="Calibri"/>
          <w:szCs w:val="24"/>
        </w:rPr>
      </w:pPr>
      <w:r w:rsidRPr="004070B8">
        <w:rPr>
          <w:rFonts w:asciiTheme="minorHAnsi" w:hAnsiTheme="minorHAnsi"/>
        </w:rPr>
        <w:t>Patients with altered pharmacokinetics:</w:t>
      </w:r>
    </w:p>
    <w:p w14:paraId="0A98E543"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Patients admitted to the Intensive Care Unit</w:t>
      </w:r>
    </w:p>
    <w:p w14:paraId="269FE53A" w14:textId="77777777" w:rsidR="009E4D54" w:rsidRPr="007C6707" w:rsidRDefault="009E4D54" w:rsidP="005A2A5C">
      <w:pPr>
        <w:pStyle w:val="ListParagraph"/>
        <w:numPr>
          <w:ilvl w:val="0"/>
          <w:numId w:val="25"/>
        </w:numPr>
        <w:rPr>
          <w:rFonts w:asciiTheme="minorHAnsi" w:hAnsiTheme="minorHAnsi"/>
          <w:color w:val="000000"/>
        </w:rPr>
      </w:pPr>
      <w:r w:rsidRPr="007C6707">
        <w:rPr>
          <w:rFonts w:asciiTheme="minorHAnsi" w:hAnsiTheme="minorHAnsi"/>
        </w:rPr>
        <w:t>Patients in shock</w:t>
      </w:r>
    </w:p>
    <w:p w14:paraId="5F29AA26"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color w:val="000000"/>
        </w:rPr>
        <w:t>Obese patients (BMI &gt;30 kg/m</w:t>
      </w:r>
      <w:r w:rsidRPr="007C6707">
        <w:rPr>
          <w:rFonts w:asciiTheme="minorHAnsi" w:hAnsiTheme="minorHAnsi"/>
          <w:color w:val="000000"/>
          <w:vertAlign w:val="superscript"/>
        </w:rPr>
        <w:t>2</w:t>
      </w:r>
      <w:r w:rsidRPr="007C6707">
        <w:rPr>
          <w:rFonts w:asciiTheme="minorHAnsi" w:hAnsiTheme="minorHAnsi"/>
          <w:color w:val="000000"/>
        </w:rPr>
        <w:t>)</w:t>
      </w:r>
    </w:p>
    <w:p w14:paraId="5C7169F7"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eGFR &lt; 30mL/min (if further doses authorised by the renal service)</w:t>
      </w:r>
    </w:p>
    <w:p w14:paraId="05FB13BB"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Patients with quadriplegia</w:t>
      </w:r>
    </w:p>
    <w:p w14:paraId="0C30AF19"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Patients with cystic fibrosis</w:t>
      </w:r>
    </w:p>
    <w:p w14:paraId="42BA1478"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Patients with ascites</w:t>
      </w:r>
    </w:p>
    <w:p w14:paraId="77B016E2" w14:textId="77777777" w:rsidR="009E4D54" w:rsidRPr="007C6707" w:rsidRDefault="009E4D54" w:rsidP="005A2A5C">
      <w:pPr>
        <w:pStyle w:val="ListParagraph"/>
        <w:numPr>
          <w:ilvl w:val="0"/>
          <w:numId w:val="25"/>
        </w:numPr>
        <w:rPr>
          <w:rFonts w:asciiTheme="minorHAnsi" w:hAnsiTheme="minorHAnsi"/>
        </w:rPr>
      </w:pPr>
      <w:r w:rsidRPr="007C6707">
        <w:rPr>
          <w:rFonts w:asciiTheme="minorHAnsi" w:hAnsiTheme="minorHAnsi"/>
        </w:rPr>
        <w:t>Patients with burns</w:t>
      </w:r>
    </w:p>
    <w:p w14:paraId="396ACD65" w14:textId="77777777" w:rsidR="009E4D54" w:rsidRPr="004070B8" w:rsidRDefault="009E4D54" w:rsidP="005A2A5C">
      <w:pPr>
        <w:pStyle w:val="ListParagraph"/>
        <w:numPr>
          <w:ilvl w:val="0"/>
          <w:numId w:val="25"/>
        </w:numPr>
      </w:pPr>
      <w:r w:rsidRPr="007C6707">
        <w:rPr>
          <w:rFonts w:asciiTheme="minorHAnsi" w:hAnsiTheme="minorHAnsi"/>
        </w:rPr>
        <w:t>Pregnant patients</w:t>
      </w:r>
    </w:p>
    <w:p w14:paraId="256D3073" w14:textId="77777777" w:rsidR="007C6707" w:rsidRDefault="007C6707" w:rsidP="009E4D54">
      <w:pPr>
        <w:rPr>
          <w:rFonts w:asciiTheme="minorHAnsi" w:hAnsiTheme="minorHAnsi"/>
          <w:b/>
        </w:rPr>
      </w:pPr>
    </w:p>
    <w:p w14:paraId="5F933097" w14:textId="7E35C538" w:rsidR="009E4D54" w:rsidRDefault="009E4D54" w:rsidP="009E4D54">
      <w:pPr>
        <w:rPr>
          <w:rStyle w:val="Hyperlink"/>
          <w:rFonts w:asciiTheme="minorHAnsi" w:hAnsiTheme="minorHAnsi"/>
        </w:rPr>
      </w:pPr>
      <w:r w:rsidRPr="007219E4">
        <w:rPr>
          <w:rFonts w:asciiTheme="minorHAnsi" w:hAnsiTheme="minorHAnsi"/>
          <w:b/>
        </w:rPr>
        <w:t>For all other patients</w:t>
      </w:r>
      <w:r w:rsidR="007219E4" w:rsidRPr="007219E4">
        <w:rPr>
          <w:rFonts w:asciiTheme="minorHAnsi" w:hAnsiTheme="minorHAnsi"/>
          <w:b/>
        </w:rPr>
        <w:t>:</w:t>
      </w:r>
      <w:r w:rsidR="007219E4">
        <w:rPr>
          <w:rFonts w:asciiTheme="minorHAnsi" w:hAnsiTheme="minorHAnsi"/>
        </w:rPr>
        <w:t xml:space="preserve"> refer to </w:t>
      </w:r>
      <w:hyperlink w:anchor="_Section_2.1:_" w:history="1">
        <w:r w:rsidR="00A010EC" w:rsidRPr="007219E4">
          <w:rPr>
            <w:rStyle w:val="Hyperlink"/>
            <w:rFonts w:asciiTheme="minorHAnsi" w:hAnsiTheme="minorHAnsi"/>
          </w:rPr>
          <w:t>Section 2.1: Single sample TDM</w:t>
        </w:r>
      </w:hyperlink>
      <w:r w:rsidR="00526981">
        <w:rPr>
          <w:rFonts w:asciiTheme="minorHAnsi" w:hAnsiTheme="minorHAnsi"/>
        </w:rPr>
        <w:t>.</w:t>
      </w:r>
    </w:p>
    <w:p w14:paraId="68E87A4D" w14:textId="77777777" w:rsidR="007C6707" w:rsidRDefault="007C6707" w:rsidP="009E4D54">
      <w:pPr>
        <w:rPr>
          <w:rFonts w:asciiTheme="minorHAnsi" w:hAnsiTheme="minorHAnsi"/>
        </w:rPr>
      </w:pPr>
    </w:p>
    <w:p w14:paraId="0AA70E1E" w14:textId="06FA1932" w:rsidR="00DC660A" w:rsidRDefault="00DC660A" w:rsidP="007C6707">
      <w:pPr>
        <w:pStyle w:val="Heading2"/>
      </w:pPr>
      <w:bookmarkStart w:id="23" w:name="_Section_2.1:_"/>
      <w:bookmarkStart w:id="24" w:name="_Toc38371906"/>
      <w:bookmarkEnd w:id="23"/>
      <w:r w:rsidRPr="0074073F">
        <w:t xml:space="preserve">Section </w:t>
      </w:r>
      <w:r w:rsidR="008741DB">
        <w:t>2</w:t>
      </w:r>
      <w:r>
        <w:t>.1</w:t>
      </w:r>
      <w:r w:rsidRPr="0074073F">
        <w:t xml:space="preserve">:  </w:t>
      </w:r>
      <w:r w:rsidR="006E05B5">
        <w:t>S</w:t>
      </w:r>
      <w:r>
        <w:t xml:space="preserve">ingle </w:t>
      </w:r>
      <w:r w:rsidR="00B75F94">
        <w:t xml:space="preserve">sample </w:t>
      </w:r>
      <w:r>
        <w:t>TDM</w:t>
      </w:r>
      <w:bookmarkEnd w:id="24"/>
      <w:r w:rsidRPr="0074073F">
        <w:t xml:space="preserve"> </w:t>
      </w:r>
    </w:p>
    <w:p w14:paraId="4B39D6CC" w14:textId="2B80133F" w:rsidR="00181A6A" w:rsidRDefault="00181A6A" w:rsidP="00DC660A">
      <w:pPr>
        <w:rPr>
          <w:rFonts w:asciiTheme="minorHAnsi" w:hAnsiTheme="minorHAnsi"/>
        </w:rPr>
      </w:pPr>
      <w:r>
        <w:rPr>
          <w:rFonts w:asciiTheme="minorHAnsi" w:hAnsiTheme="minorHAnsi"/>
        </w:rPr>
        <w:t>This method provides a computer generated rec</w:t>
      </w:r>
      <w:r w:rsidR="00B75F94">
        <w:rPr>
          <w:rFonts w:asciiTheme="minorHAnsi" w:hAnsiTheme="minorHAnsi"/>
        </w:rPr>
        <w:t>ommendation for subsequent dosing</w:t>
      </w:r>
      <w:r>
        <w:rPr>
          <w:rFonts w:asciiTheme="minorHAnsi" w:hAnsiTheme="minorHAnsi"/>
        </w:rPr>
        <w:t xml:space="preserve"> </w:t>
      </w:r>
      <w:r w:rsidR="009E4D54">
        <w:rPr>
          <w:rFonts w:asciiTheme="minorHAnsi" w:hAnsiTheme="minorHAnsi"/>
        </w:rPr>
        <w:t>by estimating</w:t>
      </w:r>
      <w:r>
        <w:rPr>
          <w:rFonts w:asciiTheme="minorHAnsi" w:hAnsiTheme="minorHAnsi"/>
        </w:rPr>
        <w:t xml:space="preserve"> </w:t>
      </w:r>
      <w:r w:rsidR="009E4D54">
        <w:rPr>
          <w:rFonts w:asciiTheme="minorHAnsi" w:hAnsiTheme="minorHAnsi"/>
        </w:rPr>
        <w:t xml:space="preserve">the </w:t>
      </w:r>
      <w:r>
        <w:rPr>
          <w:rFonts w:asciiTheme="minorHAnsi" w:hAnsiTheme="minorHAnsi"/>
        </w:rPr>
        <w:t>Area-Under the Curve (AUC) and C max</w:t>
      </w:r>
      <w:r w:rsidR="009E4D54">
        <w:rPr>
          <w:rFonts w:asciiTheme="minorHAnsi" w:hAnsiTheme="minorHAnsi"/>
        </w:rPr>
        <w:t xml:space="preserve"> using a single drug concentration</w:t>
      </w:r>
      <w:r>
        <w:rPr>
          <w:rFonts w:asciiTheme="minorHAnsi" w:hAnsiTheme="minorHAnsi"/>
        </w:rPr>
        <w:t>.</w:t>
      </w:r>
    </w:p>
    <w:p w14:paraId="4810B3E8" w14:textId="77777777" w:rsidR="00DC660A" w:rsidRDefault="00DC660A" w:rsidP="00DC660A"/>
    <w:p w14:paraId="43D2A352" w14:textId="1A64A671" w:rsidR="00DC660A" w:rsidRDefault="009E4D54" w:rsidP="00DC660A">
      <w:pPr>
        <w:rPr>
          <w:rFonts w:asciiTheme="minorHAnsi" w:hAnsiTheme="minorHAnsi"/>
        </w:rPr>
      </w:pPr>
      <w:r>
        <w:rPr>
          <w:rFonts w:asciiTheme="minorHAnsi" w:hAnsiTheme="minorHAnsi"/>
        </w:rPr>
        <w:t>O</w:t>
      </w:r>
      <w:r w:rsidR="00DC660A" w:rsidRPr="004070B8">
        <w:rPr>
          <w:rFonts w:asciiTheme="minorHAnsi" w:hAnsiTheme="minorHAnsi"/>
        </w:rPr>
        <w:t xml:space="preserve">ne serum sample </w:t>
      </w:r>
      <w:r w:rsidR="00B75F94" w:rsidRPr="004070B8">
        <w:rPr>
          <w:rFonts w:asciiTheme="minorHAnsi" w:hAnsiTheme="minorHAnsi"/>
          <w:b/>
        </w:rPr>
        <w:t>6-8 hours</w:t>
      </w:r>
      <w:r w:rsidR="00B75F94" w:rsidRPr="004070B8">
        <w:rPr>
          <w:rFonts w:asciiTheme="minorHAnsi" w:hAnsiTheme="minorHAnsi"/>
        </w:rPr>
        <w:t xml:space="preserve"> after the beginning of the antibiotic infusion</w:t>
      </w:r>
      <w:r w:rsidR="00B75F94" w:rsidRPr="009E4D54">
        <w:rPr>
          <w:rFonts w:asciiTheme="minorHAnsi" w:hAnsiTheme="minorHAnsi"/>
        </w:rPr>
        <w:t xml:space="preserve"> </w:t>
      </w:r>
      <w:r w:rsidR="00DC660A" w:rsidRPr="004070B8">
        <w:rPr>
          <w:rFonts w:asciiTheme="minorHAnsi" w:hAnsiTheme="minorHAnsi"/>
        </w:rPr>
        <w:t xml:space="preserve">is required to </w:t>
      </w:r>
      <w:r w:rsidR="007C6707">
        <w:rPr>
          <w:rFonts w:asciiTheme="minorHAnsi" w:hAnsiTheme="minorHAnsi"/>
        </w:rPr>
        <w:t>p</w:t>
      </w:r>
      <w:r w:rsidR="00DC660A" w:rsidRPr="004070B8">
        <w:rPr>
          <w:rFonts w:asciiTheme="minorHAnsi" w:hAnsiTheme="minorHAnsi"/>
        </w:rPr>
        <w:t>erform TDM</w:t>
      </w:r>
      <w:r w:rsidR="00DC660A" w:rsidRPr="00244945">
        <w:rPr>
          <w:rFonts w:asciiTheme="minorHAnsi" w:hAnsiTheme="minorHAnsi"/>
        </w:rPr>
        <w:t>:</w:t>
      </w:r>
    </w:p>
    <w:p w14:paraId="02D06B0B" w14:textId="77777777" w:rsidR="00DC660A" w:rsidRPr="004070B8" w:rsidRDefault="00DC660A" w:rsidP="00DC660A">
      <w:pPr>
        <w:rPr>
          <w:rFonts w:asciiTheme="minorHAnsi" w:hAnsiTheme="minorHAnsi"/>
        </w:rPr>
      </w:pPr>
    </w:p>
    <w:p w14:paraId="3C087C27" w14:textId="77777777" w:rsidR="00DC660A" w:rsidRPr="004070B8" w:rsidRDefault="00DC660A" w:rsidP="00DC660A">
      <w:pPr>
        <w:rPr>
          <w:rFonts w:asciiTheme="minorHAnsi" w:hAnsiTheme="minorHAnsi"/>
          <w:b/>
        </w:rPr>
      </w:pPr>
      <w:r w:rsidRPr="004070B8">
        <w:rPr>
          <w:rFonts w:asciiTheme="minorHAnsi" w:hAnsiTheme="minorHAnsi"/>
          <w:b/>
        </w:rPr>
        <w:t>Ordering the sample:</w:t>
      </w:r>
    </w:p>
    <w:p w14:paraId="232E10BE" w14:textId="77777777" w:rsidR="00DC660A" w:rsidRPr="004070B8" w:rsidRDefault="00DC660A" w:rsidP="007219E4">
      <w:pPr>
        <w:rPr>
          <w:rFonts w:asciiTheme="minorHAnsi" w:hAnsiTheme="minorHAnsi"/>
        </w:rPr>
      </w:pPr>
      <w:r w:rsidRPr="004070B8">
        <w:rPr>
          <w:rFonts w:asciiTheme="minorHAnsi" w:hAnsiTheme="minorHAnsi"/>
        </w:rPr>
        <w:t>Document on the pathology form:</w:t>
      </w:r>
    </w:p>
    <w:p w14:paraId="20B66F7A" w14:textId="6F34DF66" w:rsidR="007219E4" w:rsidRDefault="007219E4" w:rsidP="005A2A5C">
      <w:pPr>
        <w:numPr>
          <w:ilvl w:val="0"/>
          <w:numId w:val="12"/>
        </w:numPr>
        <w:rPr>
          <w:rFonts w:asciiTheme="minorHAnsi" w:hAnsiTheme="minorHAnsi"/>
        </w:rPr>
      </w:pPr>
      <w:r>
        <w:rPr>
          <w:rFonts w:asciiTheme="minorHAnsi" w:hAnsiTheme="minorHAnsi"/>
        </w:rPr>
        <w:t xml:space="preserve">Gent-D or </w:t>
      </w:r>
      <w:proofErr w:type="spellStart"/>
      <w:r>
        <w:rPr>
          <w:rFonts w:asciiTheme="minorHAnsi" w:hAnsiTheme="minorHAnsi"/>
        </w:rPr>
        <w:t>Tobra</w:t>
      </w:r>
      <w:proofErr w:type="spellEnd"/>
      <w:r>
        <w:rPr>
          <w:rFonts w:asciiTheme="minorHAnsi" w:hAnsiTheme="minorHAnsi"/>
        </w:rPr>
        <w:t>-D, depending on whether gentamicin or tobramycin is used</w:t>
      </w:r>
    </w:p>
    <w:p w14:paraId="394515D3" w14:textId="3E923ECC" w:rsidR="00DC660A" w:rsidRPr="004070B8" w:rsidRDefault="005D7AB2" w:rsidP="005A2A5C">
      <w:pPr>
        <w:numPr>
          <w:ilvl w:val="0"/>
          <w:numId w:val="12"/>
        </w:numPr>
        <w:rPr>
          <w:rFonts w:asciiTheme="minorHAnsi" w:hAnsiTheme="minorHAnsi"/>
        </w:rPr>
      </w:pPr>
      <w:r>
        <w:rPr>
          <w:rFonts w:asciiTheme="minorHAnsi" w:hAnsiTheme="minorHAnsi"/>
        </w:rPr>
        <w:t>Date and t</w:t>
      </w:r>
      <w:r w:rsidR="00DC660A" w:rsidRPr="004070B8">
        <w:rPr>
          <w:rFonts w:asciiTheme="minorHAnsi" w:hAnsiTheme="minorHAnsi"/>
        </w:rPr>
        <w:t>ime infusion was started (24 hour time)</w:t>
      </w:r>
    </w:p>
    <w:p w14:paraId="2A632076" w14:textId="77777777" w:rsidR="00DC660A" w:rsidRPr="004070B8" w:rsidRDefault="00DC660A" w:rsidP="005A2A5C">
      <w:pPr>
        <w:numPr>
          <w:ilvl w:val="0"/>
          <w:numId w:val="12"/>
        </w:numPr>
        <w:spacing w:line="276" w:lineRule="auto"/>
        <w:rPr>
          <w:rFonts w:asciiTheme="minorHAnsi" w:hAnsiTheme="minorHAnsi"/>
        </w:rPr>
      </w:pPr>
      <w:r w:rsidRPr="004070B8">
        <w:rPr>
          <w:rFonts w:asciiTheme="minorHAnsi" w:hAnsiTheme="minorHAnsi"/>
        </w:rPr>
        <w:t>The dose administered (mg)</w:t>
      </w:r>
    </w:p>
    <w:p w14:paraId="37E11C6B" w14:textId="77777777" w:rsidR="00DC660A" w:rsidRPr="004070B8" w:rsidRDefault="00DC660A" w:rsidP="005A2A5C">
      <w:pPr>
        <w:numPr>
          <w:ilvl w:val="0"/>
          <w:numId w:val="12"/>
        </w:numPr>
        <w:spacing w:line="276" w:lineRule="auto"/>
        <w:rPr>
          <w:rFonts w:asciiTheme="minorHAnsi" w:hAnsiTheme="minorHAnsi"/>
        </w:rPr>
      </w:pPr>
      <w:r w:rsidRPr="004070B8">
        <w:rPr>
          <w:rFonts w:asciiTheme="minorHAnsi" w:hAnsiTheme="minorHAnsi"/>
        </w:rPr>
        <w:t>Patient’s total body weight (kg)</w:t>
      </w:r>
    </w:p>
    <w:p w14:paraId="520C0EA2" w14:textId="77777777" w:rsidR="00DC660A" w:rsidRPr="004070B8" w:rsidRDefault="00DC660A" w:rsidP="005A2A5C">
      <w:pPr>
        <w:numPr>
          <w:ilvl w:val="0"/>
          <w:numId w:val="12"/>
        </w:numPr>
        <w:spacing w:line="276" w:lineRule="auto"/>
        <w:rPr>
          <w:rFonts w:asciiTheme="minorHAnsi" w:hAnsiTheme="minorHAnsi"/>
        </w:rPr>
      </w:pPr>
      <w:r w:rsidRPr="004070B8">
        <w:rPr>
          <w:rFonts w:asciiTheme="minorHAnsi" w:hAnsiTheme="minorHAnsi"/>
        </w:rPr>
        <w:t>Time the blood sample is due (24 hour time)</w:t>
      </w:r>
    </w:p>
    <w:p w14:paraId="6383A06B" w14:textId="77777777" w:rsidR="003D03B8" w:rsidRDefault="003D03B8" w:rsidP="00DC660A"/>
    <w:p w14:paraId="41AC0DE2" w14:textId="77777777" w:rsidR="00DC660A" w:rsidRDefault="00DC660A" w:rsidP="007C6707">
      <w:pPr>
        <w:rPr>
          <w:rFonts w:asciiTheme="minorHAnsi" w:hAnsiTheme="minorHAnsi"/>
        </w:rPr>
      </w:pPr>
      <w:r w:rsidRPr="00972CB9">
        <w:rPr>
          <w:noProof/>
          <w:lang w:eastAsia="en-AU"/>
        </w:rPr>
        <w:lastRenderedPageBreak/>
        <w:drawing>
          <wp:inline distT="0" distB="0" distL="0" distR="0" wp14:anchorId="7816B73E" wp14:editId="1A80C2BB">
            <wp:extent cx="4514850" cy="2933700"/>
            <wp:effectExtent l="0" t="0" r="0" b="0"/>
            <wp:docPr id="1" name="Picture 1" descr="Gent-D path for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D path form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4850" cy="2933700"/>
                    </a:xfrm>
                    <a:prstGeom prst="rect">
                      <a:avLst/>
                    </a:prstGeom>
                    <a:noFill/>
                    <a:ln>
                      <a:noFill/>
                    </a:ln>
                  </pic:spPr>
                </pic:pic>
              </a:graphicData>
            </a:graphic>
          </wp:inline>
        </w:drawing>
      </w:r>
    </w:p>
    <w:p w14:paraId="009D64F5" w14:textId="77777777" w:rsidR="00DC660A" w:rsidRDefault="00DC660A">
      <w:pPr>
        <w:rPr>
          <w:rFonts w:asciiTheme="minorHAnsi" w:hAnsiTheme="minorHAnsi"/>
        </w:rPr>
      </w:pPr>
    </w:p>
    <w:p w14:paraId="3136B3EA" w14:textId="0A863B48" w:rsidR="00DC660A" w:rsidRDefault="00DC660A">
      <w:pPr>
        <w:rPr>
          <w:rFonts w:asciiTheme="minorHAnsi" w:hAnsiTheme="minorHAnsi"/>
        </w:rPr>
      </w:pPr>
      <w:r w:rsidRPr="004070B8">
        <w:rPr>
          <w:rFonts w:asciiTheme="minorHAnsi" w:hAnsiTheme="minorHAnsi"/>
        </w:rPr>
        <w:t xml:space="preserve">Dosing recommendations cannot be calculated by </w:t>
      </w:r>
      <w:r w:rsidR="007219E4">
        <w:rPr>
          <w:rFonts w:asciiTheme="minorHAnsi" w:hAnsiTheme="minorHAnsi"/>
        </w:rPr>
        <w:t xml:space="preserve">the </w:t>
      </w:r>
      <w:r w:rsidRPr="004070B8">
        <w:rPr>
          <w:rFonts w:asciiTheme="minorHAnsi" w:hAnsiTheme="minorHAnsi"/>
        </w:rPr>
        <w:t xml:space="preserve">pathology </w:t>
      </w:r>
      <w:r w:rsidR="007219E4">
        <w:rPr>
          <w:rFonts w:asciiTheme="minorHAnsi" w:hAnsiTheme="minorHAnsi"/>
        </w:rPr>
        <w:t xml:space="preserve">system </w:t>
      </w:r>
      <w:r w:rsidRPr="004070B8">
        <w:rPr>
          <w:rFonts w:asciiTheme="minorHAnsi" w:hAnsiTheme="minorHAnsi"/>
        </w:rPr>
        <w:t xml:space="preserve">if this information is not provided. This information can be provided to pathology retrospectively </w:t>
      </w:r>
      <w:r w:rsidR="005D7AB2">
        <w:rPr>
          <w:rFonts w:asciiTheme="minorHAnsi" w:hAnsiTheme="minorHAnsi"/>
        </w:rPr>
        <w:t xml:space="preserve">after a </w:t>
      </w:r>
      <w:r w:rsidRPr="004070B8">
        <w:rPr>
          <w:rFonts w:asciiTheme="minorHAnsi" w:hAnsiTheme="minorHAnsi"/>
        </w:rPr>
        <w:t xml:space="preserve">separate pathology form </w:t>
      </w:r>
      <w:r w:rsidR="005D7AB2">
        <w:rPr>
          <w:rFonts w:asciiTheme="minorHAnsi" w:hAnsiTheme="minorHAnsi"/>
        </w:rPr>
        <w:t xml:space="preserve">is submitted with the supplemental information </w:t>
      </w:r>
      <w:r w:rsidRPr="004070B8">
        <w:rPr>
          <w:rFonts w:asciiTheme="minorHAnsi" w:hAnsiTheme="minorHAnsi"/>
        </w:rPr>
        <w:t xml:space="preserve">if not provided </w:t>
      </w:r>
      <w:r w:rsidR="005D7AB2">
        <w:rPr>
          <w:rFonts w:asciiTheme="minorHAnsi" w:hAnsiTheme="minorHAnsi"/>
        </w:rPr>
        <w:t>with the initial request.</w:t>
      </w:r>
    </w:p>
    <w:p w14:paraId="2C6DA35E" w14:textId="77777777" w:rsidR="00DC660A" w:rsidRPr="004070B8" w:rsidRDefault="00DC660A">
      <w:pPr>
        <w:rPr>
          <w:rFonts w:asciiTheme="minorHAnsi" w:hAnsiTheme="minorHAnsi"/>
        </w:rPr>
      </w:pPr>
    </w:p>
    <w:p w14:paraId="05211B91" w14:textId="77777777" w:rsidR="00DC660A" w:rsidRPr="004070B8" w:rsidRDefault="00DC660A" w:rsidP="00DC660A">
      <w:pPr>
        <w:rPr>
          <w:rFonts w:asciiTheme="minorHAnsi" w:hAnsiTheme="minorHAnsi"/>
          <w:b/>
        </w:rPr>
      </w:pPr>
      <w:r w:rsidRPr="004070B8">
        <w:rPr>
          <w:rFonts w:asciiTheme="minorHAnsi" w:hAnsiTheme="minorHAnsi"/>
          <w:b/>
        </w:rPr>
        <w:t>Reviewing results:</w:t>
      </w:r>
    </w:p>
    <w:p w14:paraId="7BE3FD5C" w14:textId="044364B6" w:rsidR="005D7AB2" w:rsidRDefault="007219E4" w:rsidP="005A2A5C">
      <w:pPr>
        <w:numPr>
          <w:ilvl w:val="0"/>
          <w:numId w:val="13"/>
        </w:numPr>
        <w:ind w:left="357" w:hanging="357"/>
        <w:rPr>
          <w:rFonts w:asciiTheme="minorHAnsi" w:hAnsiTheme="minorHAnsi"/>
        </w:rPr>
      </w:pPr>
      <w:r>
        <w:rPr>
          <w:rFonts w:asciiTheme="minorHAnsi" w:hAnsiTheme="minorHAnsi"/>
        </w:rPr>
        <w:t>Access t</w:t>
      </w:r>
      <w:r w:rsidR="005D7AB2">
        <w:rPr>
          <w:rFonts w:asciiTheme="minorHAnsi" w:hAnsiTheme="minorHAnsi"/>
        </w:rPr>
        <w:t xml:space="preserve">he Gent-D or </w:t>
      </w:r>
      <w:proofErr w:type="spellStart"/>
      <w:r w:rsidR="005D7AB2">
        <w:rPr>
          <w:rFonts w:asciiTheme="minorHAnsi" w:hAnsiTheme="minorHAnsi"/>
        </w:rPr>
        <w:t>Tobra</w:t>
      </w:r>
      <w:proofErr w:type="spellEnd"/>
      <w:r w:rsidR="005D7AB2">
        <w:rPr>
          <w:rFonts w:asciiTheme="minorHAnsi" w:hAnsiTheme="minorHAnsi"/>
        </w:rPr>
        <w:t>-D result via the Clinical Information System (CIS)</w:t>
      </w:r>
    </w:p>
    <w:p w14:paraId="622B2D4D" w14:textId="77777777" w:rsidR="00DC660A" w:rsidRPr="004070B8" w:rsidRDefault="00DC660A" w:rsidP="005A2A5C">
      <w:pPr>
        <w:numPr>
          <w:ilvl w:val="0"/>
          <w:numId w:val="13"/>
        </w:numPr>
        <w:ind w:left="357" w:hanging="357"/>
        <w:rPr>
          <w:rFonts w:asciiTheme="minorHAnsi" w:hAnsiTheme="minorHAnsi"/>
        </w:rPr>
      </w:pPr>
      <w:r w:rsidRPr="004070B8">
        <w:rPr>
          <w:rFonts w:asciiTheme="minorHAnsi" w:hAnsiTheme="minorHAnsi"/>
        </w:rPr>
        <w:t>Ensure that all of the input information that is displayed on the result is correct</w:t>
      </w:r>
    </w:p>
    <w:p w14:paraId="2D75DE32" w14:textId="77777777" w:rsidR="00DC660A" w:rsidRDefault="00DC660A" w:rsidP="005A2A5C">
      <w:pPr>
        <w:numPr>
          <w:ilvl w:val="0"/>
          <w:numId w:val="7"/>
        </w:numPr>
        <w:ind w:left="357" w:hanging="357"/>
        <w:rPr>
          <w:rFonts w:asciiTheme="minorHAnsi" w:hAnsiTheme="minorHAnsi"/>
        </w:rPr>
      </w:pPr>
      <w:r w:rsidRPr="004070B8">
        <w:rPr>
          <w:rFonts w:asciiTheme="minorHAnsi" w:hAnsiTheme="minorHAnsi"/>
        </w:rPr>
        <w:t>Adjust the dose based on the recommendations listed on the pathology result</w:t>
      </w:r>
    </w:p>
    <w:p w14:paraId="747BB086" w14:textId="316A1487" w:rsidR="005D7AB2" w:rsidRPr="004070B8" w:rsidRDefault="005D7AB2" w:rsidP="005A2A5C">
      <w:pPr>
        <w:numPr>
          <w:ilvl w:val="0"/>
          <w:numId w:val="7"/>
        </w:numPr>
        <w:ind w:left="357" w:hanging="357"/>
        <w:rPr>
          <w:rFonts w:asciiTheme="minorHAnsi" w:hAnsiTheme="minorHAnsi"/>
        </w:rPr>
      </w:pPr>
      <w:r>
        <w:rPr>
          <w:rFonts w:asciiTheme="minorHAnsi" w:hAnsiTheme="minorHAnsi"/>
        </w:rPr>
        <w:t>If a dose recommendation cannot be made by the pathology program, consult your pharmacist or AMS (ext. 43378)</w:t>
      </w:r>
    </w:p>
    <w:p w14:paraId="1DD9DFA9" w14:textId="77777777" w:rsidR="00DC660A" w:rsidRPr="004070B8" w:rsidRDefault="00DC660A" w:rsidP="00DC660A">
      <w:pPr>
        <w:rPr>
          <w:rFonts w:asciiTheme="minorHAnsi" w:hAnsiTheme="minorHAnsi"/>
        </w:rPr>
      </w:pPr>
    </w:p>
    <w:p w14:paraId="4A661269" w14:textId="74A61EEB" w:rsidR="00DC660A" w:rsidRPr="004070B8" w:rsidRDefault="00DC660A" w:rsidP="00DC660A">
      <w:pPr>
        <w:rPr>
          <w:rFonts w:asciiTheme="minorHAnsi" w:hAnsiTheme="minorHAnsi"/>
          <w:b/>
        </w:rPr>
      </w:pPr>
      <w:r w:rsidRPr="004070B8">
        <w:rPr>
          <w:rFonts w:asciiTheme="minorHAnsi" w:hAnsiTheme="minorHAnsi"/>
          <w:b/>
        </w:rPr>
        <w:t xml:space="preserve">Frequency of subsequent </w:t>
      </w:r>
      <w:r w:rsidR="005D7AB2">
        <w:rPr>
          <w:rFonts w:asciiTheme="minorHAnsi" w:hAnsiTheme="minorHAnsi"/>
          <w:b/>
        </w:rPr>
        <w:t>TDM</w:t>
      </w:r>
      <w:r w:rsidRPr="004070B8">
        <w:rPr>
          <w:rFonts w:asciiTheme="minorHAnsi" w:hAnsiTheme="minorHAnsi"/>
          <w:b/>
        </w:rPr>
        <w:t xml:space="preserve"> </w:t>
      </w:r>
    </w:p>
    <w:p w14:paraId="0C97770B" w14:textId="55B04BE1" w:rsidR="005D7AB2" w:rsidRDefault="005D7AB2" w:rsidP="005A2A5C">
      <w:pPr>
        <w:pStyle w:val="Header"/>
        <w:numPr>
          <w:ilvl w:val="0"/>
          <w:numId w:val="5"/>
        </w:numPr>
        <w:tabs>
          <w:tab w:val="clear" w:pos="4153"/>
          <w:tab w:val="clear" w:pos="8306"/>
        </w:tabs>
        <w:rPr>
          <w:rFonts w:asciiTheme="minorHAnsi" w:hAnsiTheme="minorHAnsi" w:cs="Calibri"/>
          <w:szCs w:val="24"/>
        </w:rPr>
      </w:pPr>
      <w:r>
        <w:rPr>
          <w:rFonts w:asciiTheme="minorHAnsi" w:hAnsiTheme="minorHAnsi" w:cs="Calibri"/>
          <w:szCs w:val="24"/>
        </w:rPr>
        <w:t xml:space="preserve">If </w:t>
      </w:r>
      <w:r w:rsidR="006E05B5">
        <w:rPr>
          <w:rFonts w:asciiTheme="minorHAnsi" w:hAnsiTheme="minorHAnsi" w:cs="Calibri"/>
          <w:szCs w:val="24"/>
        </w:rPr>
        <w:t xml:space="preserve">a dose change is recommended, </w:t>
      </w:r>
      <w:r>
        <w:rPr>
          <w:rFonts w:asciiTheme="minorHAnsi" w:hAnsiTheme="minorHAnsi" w:cs="Calibri"/>
          <w:szCs w:val="24"/>
        </w:rPr>
        <w:t xml:space="preserve">repeat TDM after the </w:t>
      </w:r>
      <w:r w:rsidR="009E4D54">
        <w:rPr>
          <w:rFonts w:asciiTheme="minorHAnsi" w:hAnsiTheme="minorHAnsi" w:cs="Calibri"/>
          <w:szCs w:val="24"/>
        </w:rPr>
        <w:t>new dose has been given</w:t>
      </w:r>
    </w:p>
    <w:p w14:paraId="4C1E559F" w14:textId="7160AA4E" w:rsidR="005D7AB2" w:rsidRDefault="005D7AB2" w:rsidP="005A2A5C">
      <w:pPr>
        <w:pStyle w:val="Header"/>
        <w:numPr>
          <w:ilvl w:val="0"/>
          <w:numId w:val="5"/>
        </w:numPr>
        <w:tabs>
          <w:tab w:val="clear" w:pos="4153"/>
          <w:tab w:val="clear" w:pos="8306"/>
        </w:tabs>
        <w:rPr>
          <w:rFonts w:asciiTheme="minorHAnsi" w:hAnsiTheme="minorHAnsi" w:cs="Calibri"/>
          <w:szCs w:val="24"/>
        </w:rPr>
      </w:pPr>
      <w:r>
        <w:rPr>
          <w:rFonts w:asciiTheme="minorHAnsi" w:hAnsiTheme="minorHAnsi" w:cs="Calibri"/>
          <w:szCs w:val="24"/>
        </w:rPr>
        <w:t>If the pathology recommendation is to continue the same dose, repeat TDM every 2-3 days</w:t>
      </w:r>
    </w:p>
    <w:p w14:paraId="68F8177F" w14:textId="5339C1EF" w:rsidR="00DC660A" w:rsidRDefault="005D7AB2" w:rsidP="005A2A5C">
      <w:pPr>
        <w:pStyle w:val="Header"/>
        <w:numPr>
          <w:ilvl w:val="0"/>
          <w:numId w:val="5"/>
        </w:numPr>
        <w:tabs>
          <w:tab w:val="clear" w:pos="4153"/>
          <w:tab w:val="clear" w:pos="8306"/>
        </w:tabs>
        <w:rPr>
          <w:rFonts w:asciiTheme="minorHAnsi" w:hAnsiTheme="minorHAnsi" w:cs="Calibri"/>
          <w:szCs w:val="24"/>
        </w:rPr>
      </w:pPr>
      <w:r>
        <w:rPr>
          <w:rFonts w:asciiTheme="minorHAnsi" w:hAnsiTheme="minorHAnsi" w:cs="Calibri"/>
          <w:szCs w:val="24"/>
        </w:rPr>
        <w:t>More frequent monitoring may be required if the patient is unstable, e.g. fluctuating renal function</w:t>
      </w:r>
      <w:r w:rsidR="00DC660A" w:rsidRPr="004070B8">
        <w:rPr>
          <w:rFonts w:asciiTheme="minorHAnsi" w:hAnsiTheme="minorHAnsi" w:cs="Calibri"/>
          <w:szCs w:val="24"/>
        </w:rPr>
        <w:t xml:space="preserve">  </w:t>
      </w:r>
    </w:p>
    <w:p w14:paraId="7B3D1C04" w14:textId="2174B121" w:rsidR="009E4D54" w:rsidRPr="004070B8" w:rsidRDefault="009E4D54" w:rsidP="005A2A5C">
      <w:pPr>
        <w:pStyle w:val="Header"/>
        <w:numPr>
          <w:ilvl w:val="0"/>
          <w:numId w:val="5"/>
        </w:numPr>
        <w:tabs>
          <w:tab w:val="clear" w:pos="4153"/>
          <w:tab w:val="clear" w:pos="8306"/>
        </w:tabs>
        <w:rPr>
          <w:rFonts w:asciiTheme="minorHAnsi" w:hAnsiTheme="minorHAnsi" w:cs="Calibri"/>
          <w:szCs w:val="24"/>
        </w:rPr>
      </w:pPr>
      <w:r>
        <w:rPr>
          <w:rFonts w:asciiTheme="minorHAnsi" w:hAnsiTheme="minorHAnsi" w:cs="Calibri"/>
          <w:szCs w:val="24"/>
        </w:rPr>
        <w:t xml:space="preserve">Serial decreasing dose requirements can be an early indication of deteriorating renal function, consider ceasing aminoglycoside therapy if an acute kidney injury is suspected </w:t>
      </w:r>
    </w:p>
    <w:p w14:paraId="3F2EA7CA" w14:textId="34B93669" w:rsidR="00DC660A" w:rsidRDefault="00DC660A" w:rsidP="007C6707">
      <w:pPr>
        <w:pStyle w:val="Heading2"/>
      </w:pPr>
      <w:bookmarkStart w:id="25" w:name="_Section_2.2:_Two-Sample"/>
      <w:bookmarkStart w:id="26" w:name="_Toc38371907"/>
      <w:bookmarkEnd w:id="25"/>
      <w:r>
        <w:t xml:space="preserve">Section </w:t>
      </w:r>
      <w:r w:rsidR="008741DB">
        <w:t>2</w:t>
      </w:r>
      <w:r>
        <w:t>.2</w:t>
      </w:r>
      <w:r w:rsidRPr="0074073F">
        <w:t xml:space="preserve">: </w:t>
      </w:r>
      <w:r>
        <w:t>Two-Sample TDM</w:t>
      </w:r>
      <w:bookmarkEnd w:id="26"/>
    </w:p>
    <w:p w14:paraId="7C7FCE3B" w14:textId="68EF7944" w:rsidR="009E4D54" w:rsidRDefault="009E4D54" w:rsidP="009E4D54">
      <w:pPr>
        <w:rPr>
          <w:rFonts w:asciiTheme="minorHAnsi" w:hAnsiTheme="minorHAnsi"/>
        </w:rPr>
      </w:pPr>
      <w:r>
        <w:rPr>
          <w:rFonts w:asciiTheme="minorHAnsi" w:hAnsiTheme="minorHAnsi"/>
        </w:rPr>
        <w:t>This method provides a computer generated recommendation for subsequent dosing by estimating the Area-Under the Curve (AUC) and C max using two drug concentrations.</w:t>
      </w:r>
    </w:p>
    <w:p w14:paraId="1F4A327E" w14:textId="77777777" w:rsidR="009E4D54" w:rsidRDefault="009E4D54" w:rsidP="00DC660A">
      <w:pPr>
        <w:rPr>
          <w:rFonts w:asciiTheme="minorHAnsi" w:hAnsiTheme="minorHAnsi"/>
        </w:rPr>
      </w:pPr>
    </w:p>
    <w:p w14:paraId="51A6F456" w14:textId="6EDD2170" w:rsidR="00244945" w:rsidRPr="004070B8" w:rsidRDefault="00DC660A" w:rsidP="00DC660A">
      <w:pPr>
        <w:rPr>
          <w:rFonts w:asciiTheme="minorHAnsi" w:hAnsiTheme="minorHAnsi"/>
        </w:rPr>
      </w:pPr>
      <w:r w:rsidRPr="004070B8">
        <w:rPr>
          <w:rFonts w:asciiTheme="minorHAnsi" w:hAnsiTheme="minorHAnsi"/>
          <w:b/>
        </w:rPr>
        <w:t>Two-Sample TDM Procedure:</w:t>
      </w:r>
      <w:r w:rsidR="00244945">
        <w:rPr>
          <w:rFonts w:asciiTheme="minorHAnsi" w:hAnsiTheme="minorHAnsi"/>
        </w:rPr>
        <w:br/>
      </w:r>
      <w:r w:rsidR="009E4D54">
        <w:rPr>
          <w:rFonts w:asciiTheme="minorHAnsi" w:hAnsiTheme="minorHAnsi"/>
        </w:rPr>
        <w:t>S</w:t>
      </w:r>
      <w:r w:rsidRPr="004070B8">
        <w:rPr>
          <w:rFonts w:asciiTheme="minorHAnsi" w:hAnsiTheme="minorHAnsi"/>
        </w:rPr>
        <w:t xml:space="preserve">erum </w:t>
      </w:r>
      <w:r w:rsidR="009E4D54">
        <w:rPr>
          <w:rFonts w:asciiTheme="minorHAnsi" w:hAnsiTheme="minorHAnsi"/>
        </w:rPr>
        <w:t xml:space="preserve">drug </w:t>
      </w:r>
      <w:r w:rsidRPr="004070B8">
        <w:rPr>
          <w:rFonts w:asciiTheme="minorHAnsi" w:hAnsiTheme="minorHAnsi"/>
        </w:rPr>
        <w:t>concentration</w:t>
      </w:r>
      <w:r w:rsidR="009E4D54">
        <w:rPr>
          <w:rFonts w:asciiTheme="minorHAnsi" w:hAnsiTheme="minorHAnsi"/>
        </w:rPr>
        <w:t>s</w:t>
      </w:r>
      <w:r w:rsidRPr="004070B8">
        <w:rPr>
          <w:rFonts w:asciiTheme="minorHAnsi" w:hAnsiTheme="minorHAnsi"/>
        </w:rPr>
        <w:t xml:space="preserve"> should be taken:</w:t>
      </w:r>
    </w:p>
    <w:p w14:paraId="0CF87A7C" w14:textId="77777777" w:rsidR="00244945" w:rsidRPr="004070B8" w:rsidRDefault="00DC660A" w:rsidP="005A2A5C">
      <w:pPr>
        <w:numPr>
          <w:ilvl w:val="0"/>
          <w:numId w:val="14"/>
        </w:numPr>
        <w:ind w:left="357" w:hanging="357"/>
        <w:rPr>
          <w:rFonts w:asciiTheme="minorHAnsi" w:hAnsiTheme="minorHAnsi"/>
        </w:rPr>
      </w:pPr>
      <w:r w:rsidRPr="004070B8">
        <w:rPr>
          <w:rFonts w:asciiTheme="minorHAnsi" w:hAnsiTheme="minorHAnsi"/>
        </w:rPr>
        <w:t>1 hour after the beginning of the antibiotic infusion (infusion duration of 30 minutes)</w:t>
      </w:r>
      <w:r w:rsidRPr="004070B8">
        <w:rPr>
          <w:rFonts w:asciiTheme="minorHAnsi" w:hAnsiTheme="minorHAnsi"/>
        </w:rPr>
        <w:br/>
      </w:r>
      <w:r w:rsidRPr="004070B8">
        <w:rPr>
          <w:rFonts w:asciiTheme="minorHAnsi" w:hAnsiTheme="minorHAnsi"/>
          <w:b/>
          <w:u w:val="single"/>
        </w:rPr>
        <w:t>AND</w:t>
      </w:r>
    </w:p>
    <w:p w14:paraId="0DBAD2E7" w14:textId="77777777" w:rsidR="00E769F8" w:rsidRDefault="00DC660A" w:rsidP="005A2A5C">
      <w:pPr>
        <w:numPr>
          <w:ilvl w:val="0"/>
          <w:numId w:val="14"/>
        </w:numPr>
        <w:ind w:left="357" w:hanging="357"/>
        <w:rPr>
          <w:rFonts w:asciiTheme="minorHAnsi" w:hAnsiTheme="minorHAnsi"/>
        </w:rPr>
      </w:pPr>
      <w:r w:rsidRPr="004070B8">
        <w:rPr>
          <w:rFonts w:asciiTheme="minorHAnsi" w:hAnsiTheme="minorHAnsi"/>
        </w:rPr>
        <w:lastRenderedPageBreak/>
        <w:t>6-8 hours after the beginning of the antibiotic infusion</w:t>
      </w:r>
    </w:p>
    <w:p w14:paraId="2F07A8E5" w14:textId="6416C2D8" w:rsidR="00244945" w:rsidRDefault="00E769F8" w:rsidP="005A2A5C">
      <w:pPr>
        <w:pStyle w:val="ListParagraph"/>
        <w:numPr>
          <w:ilvl w:val="0"/>
          <w:numId w:val="26"/>
        </w:numPr>
        <w:rPr>
          <w:rFonts w:asciiTheme="minorHAnsi" w:hAnsiTheme="minorHAnsi"/>
        </w:rPr>
      </w:pPr>
      <w:r w:rsidRPr="007C6707">
        <w:rPr>
          <w:rFonts w:asciiTheme="minorHAnsi" w:hAnsiTheme="minorHAnsi"/>
        </w:rPr>
        <w:t>The second sample can be taken as late as 10 hours post, as long as the result is above the limit of detection</w:t>
      </w:r>
    </w:p>
    <w:p w14:paraId="4700335C" w14:textId="77777777" w:rsidR="007C6707" w:rsidRPr="007C6707" w:rsidRDefault="007C6707" w:rsidP="007C6707">
      <w:pPr>
        <w:rPr>
          <w:rFonts w:asciiTheme="minorHAnsi" w:hAnsiTheme="minorHAnsi"/>
        </w:rPr>
      </w:pPr>
    </w:p>
    <w:p w14:paraId="4CC94FFD" w14:textId="77777777" w:rsidR="007C6707" w:rsidRDefault="00244945" w:rsidP="00244945">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4070B8">
        <w:rPr>
          <w:rFonts w:asciiTheme="minorHAnsi" w:hAnsiTheme="minorHAnsi" w:cs="Arial"/>
          <w:b/>
          <w:szCs w:val="24"/>
        </w:rPr>
        <w:t>Alert:</w:t>
      </w:r>
      <w:r>
        <w:rPr>
          <w:rFonts w:asciiTheme="minorHAnsi" w:hAnsiTheme="minorHAnsi" w:cs="Arial"/>
          <w:b/>
          <w:szCs w:val="24"/>
        </w:rPr>
        <w:t xml:space="preserve"> </w:t>
      </w:r>
    </w:p>
    <w:p w14:paraId="53E71BCD" w14:textId="620E7433" w:rsidR="00244945" w:rsidRPr="004070B8" w:rsidRDefault="007219E4" w:rsidP="00244945">
      <w:pPr>
        <w:pBdr>
          <w:top w:val="single" w:sz="4" w:space="1" w:color="auto"/>
          <w:left w:val="single" w:sz="4" w:space="4" w:color="auto"/>
          <w:bottom w:val="single" w:sz="4" w:space="1" w:color="auto"/>
          <w:right w:val="single" w:sz="4" w:space="4" w:color="auto"/>
        </w:pBdr>
        <w:rPr>
          <w:rFonts w:asciiTheme="minorHAnsi" w:hAnsiTheme="minorHAnsi"/>
        </w:rPr>
      </w:pPr>
      <w:r w:rsidRPr="007219E4">
        <w:rPr>
          <w:rFonts w:asciiTheme="minorHAnsi" w:hAnsiTheme="minorHAnsi" w:cs="Arial"/>
          <w:szCs w:val="24"/>
        </w:rPr>
        <w:t>P</w:t>
      </w:r>
      <w:r w:rsidR="00244945" w:rsidRPr="004070B8">
        <w:rPr>
          <w:rFonts w:asciiTheme="minorHAnsi" w:hAnsiTheme="minorHAnsi"/>
        </w:rPr>
        <w:t>athology cannot provide automated AUC optimised dosage recommendations for the following groups:</w:t>
      </w:r>
      <w:r w:rsidR="00244945">
        <w:rPr>
          <w:rFonts w:asciiTheme="minorHAnsi" w:hAnsiTheme="minorHAnsi"/>
        </w:rPr>
        <w:t xml:space="preserve"> </w:t>
      </w:r>
      <w:r w:rsidR="00244945" w:rsidRPr="00910CE5">
        <w:rPr>
          <w:rFonts w:asciiTheme="minorHAnsi" w:hAnsiTheme="minorHAnsi"/>
          <w:b/>
        </w:rPr>
        <w:t>Cystic Fibrosis, Amikacin</w:t>
      </w:r>
      <w:r w:rsidR="00910CE5">
        <w:rPr>
          <w:rFonts w:asciiTheme="minorHAnsi" w:hAnsiTheme="minorHAnsi"/>
          <w:b/>
        </w:rPr>
        <w:t>.</w:t>
      </w:r>
      <w:r w:rsidR="00910CE5" w:rsidRPr="00910CE5">
        <w:rPr>
          <w:rFonts w:asciiTheme="minorHAnsi" w:hAnsiTheme="minorHAnsi"/>
        </w:rPr>
        <w:t xml:space="preserve"> </w:t>
      </w:r>
      <w:r w:rsidR="00910CE5" w:rsidRPr="004070B8">
        <w:rPr>
          <w:rFonts w:asciiTheme="minorHAnsi" w:hAnsiTheme="minorHAnsi"/>
        </w:rPr>
        <w:t xml:space="preserve">For these patients, </w:t>
      </w:r>
      <w:r w:rsidR="00CD36D9">
        <w:rPr>
          <w:rFonts w:asciiTheme="minorHAnsi" w:hAnsiTheme="minorHAnsi"/>
        </w:rPr>
        <w:t xml:space="preserve">order TDM as above and </w:t>
      </w:r>
      <w:r w:rsidR="00910CE5" w:rsidRPr="004070B8">
        <w:rPr>
          <w:rFonts w:asciiTheme="minorHAnsi" w:hAnsiTheme="minorHAnsi"/>
        </w:rPr>
        <w:t xml:space="preserve">contact your pharmacist for interpretation </w:t>
      </w:r>
      <w:r w:rsidR="00181A6A">
        <w:rPr>
          <w:rFonts w:asciiTheme="minorHAnsi" w:hAnsiTheme="minorHAnsi"/>
        </w:rPr>
        <w:t>of concentrations</w:t>
      </w:r>
      <w:r w:rsidR="00910CE5" w:rsidRPr="004070B8">
        <w:rPr>
          <w:rFonts w:asciiTheme="minorHAnsi" w:hAnsiTheme="minorHAnsi"/>
        </w:rPr>
        <w:t xml:space="preserve"> and subsequent dosage recommendations</w:t>
      </w:r>
      <w:r>
        <w:rPr>
          <w:rFonts w:asciiTheme="minorHAnsi" w:hAnsiTheme="minorHAnsi"/>
        </w:rPr>
        <w:t>.</w:t>
      </w:r>
    </w:p>
    <w:p w14:paraId="31E40EDD" w14:textId="77777777" w:rsidR="007219E4" w:rsidRDefault="007219E4" w:rsidP="007219E4">
      <w:pPr>
        <w:rPr>
          <w:rFonts w:asciiTheme="minorHAnsi" w:hAnsiTheme="minorHAnsi"/>
        </w:rPr>
      </w:pPr>
    </w:p>
    <w:p w14:paraId="705DC221" w14:textId="7EDBE5EF" w:rsidR="007219E4" w:rsidRDefault="007219E4" w:rsidP="007219E4">
      <w:pPr>
        <w:rPr>
          <w:rFonts w:asciiTheme="minorHAnsi" w:hAnsiTheme="minorHAnsi"/>
        </w:rPr>
      </w:pPr>
      <w:r>
        <w:rPr>
          <w:rFonts w:asciiTheme="minorHAnsi" w:hAnsiTheme="minorHAnsi"/>
        </w:rPr>
        <w:t>If the patient does not have cystic fibrosis, and is not being prescribed Amikacin, the pathology system can provide a dose recommendation from a Gentamicin/</w:t>
      </w:r>
      <w:r w:rsidR="00D86B21">
        <w:rPr>
          <w:rFonts w:asciiTheme="minorHAnsi" w:hAnsiTheme="minorHAnsi"/>
        </w:rPr>
        <w:t>Tobramycin</w:t>
      </w:r>
      <w:r>
        <w:rPr>
          <w:rFonts w:asciiTheme="minorHAnsi" w:hAnsiTheme="minorHAnsi"/>
        </w:rPr>
        <w:t>-D request.</w:t>
      </w:r>
    </w:p>
    <w:p w14:paraId="49F25146" w14:textId="77777777" w:rsidR="007219E4" w:rsidRDefault="007219E4" w:rsidP="007219E4">
      <w:pPr>
        <w:rPr>
          <w:rFonts w:asciiTheme="minorHAnsi" w:hAnsiTheme="minorHAnsi"/>
        </w:rPr>
      </w:pPr>
    </w:p>
    <w:p w14:paraId="0CED6CAB" w14:textId="77777777" w:rsidR="007219E4" w:rsidRDefault="007219E4" w:rsidP="007219E4">
      <w:pPr>
        <w:rPr>
          <w:rFonts w:asciiTheme="minorHAnsi" w:hAnsiTheme="minorHAnsi"/>
        </w:rPr>
      </w:pPr>
      <w:r w:rsidRPr="004070B8">
        <w:rPr>
          <w:rFonts w:asciiTheme="minorHAnsi" w:hAnsiTheme="minorHAnsi"/>
        </w:rPr>
        <w:t>Document on the pathology form:</w:t>
      </w:r>
    </w:p>
    <w:p w14:paraId="60A9F9AF" w14:textId="77777777" w:rsidR="007219E4" w:rsidRDefault="007219E4" w:rsidP="005A2A5C">
      <w:pPr>
        <w:numPr>
          <w:ilvl w:val="0"/>
          <w:numId w:val="23"/>
        </w:numPr>
        <w:rPr>
          <w:rFonts w:asciiTheme="minorHAnsi" w:hAnsiTheme="minorHAnsi"/>
        </w:rPr>
      </w:pPr>
      <w:r>
        <w:rPr>
          <w:rFonts w:asciiTheme="minorHAnsi" w:hAnsiTheme="minorHAnsi"/>
        </w:rPr>
        <w:t xml:space="preserve">Gent-D or </w:t>
      </w:r>
      <w:proofErr w:type="spellStart"/>
      <w:r>
        <w:rPr>
          <w:rFonts w:asciiTheme="minorHAnsi" w:hAnsiTheme="minorHAnsi"/>
        </w:rPr>
        <w:t>Tobra</w:t>
      </w:r>
      <w:proofErr w:type="spellEnd"/>
      <w:r>
        <w:rPr>
          <w:rFonts w:asciiTheme="minorHAnsi" w:hAnsiTheme="minorHAnsi"/>
        </w:rPr>
        <w:t>-D, depending on whether gentamicin or tobramycin is used</w:t>
      </w:r>
    </w:p>
    <w:p w14:paraId="0B6E8B08" w14:textId="77777777" w:rsidR="007219E4" w:rsidRPr="004070B8" w:rsidRDefault="007219E4" w:rsidP="005A2A5C">
      <w:pPr>
        <w:numPr>
          <w:ilvl w:val="0"/>
          <w:numId w:val="23"/>
        </w:numPr>
        <w:rPr>
          <w:rFonts w:asciiTheme="minorHAnsi" w:hAnsiTheme="minorHAnsi"/>
        </w:rPr>
      </w:pPr>
      <w:r>
        <w:rPr>
          <w:rFonts w:asciiTheme="minorHAnsi" w:hAnsiTheme="minorHAnsi"/>
        </w:rPr>
        <w:t>Date and t</w:t>
      </w:r>
      <w:r w:rsidRPr="004070B8">
        <w:rPr>
          <w:rFonts w:asciiTheme="minorHAnsi" w:hAnsiTheme="minorHAnsi"/>
        </w:rPr>
        <w:t>ime infusion was started (24 hour time)</w:t>
      </w:r>
    </w:p>
    <w:p w14:paraId="2AD85A25" w14:textId="77777777" w:rsidR="007219E4" w:rsidRPr="004070B8" w:rsidRDefault="007219E4" w:rsidP="005A2A5C">
      <w:pPr>
        <w:numPr>
          <w:ilvl w:val="0"/>
          <w:numId w:val="23"/>
        </w:numPr>
        <w:spacing w:line="276" w:lineRule="auto"/>
        <w:rPr>
          <w:rFonts w:asciiTheme="minorHAnsi" w:hAnsiTheme="minorHAnsi"/>
        </w:rPr>
      </w:pPr>
      <w:r w:rsidRPr="004070B8">
        <w:rPr>
          <w:rFonts w:asciiTheme="minorHAnsi" w:hAnsiTheme="minorHAnsi"/>
        </w:rPr>
        <w:t>The dose administered (mg)</w:t>
      </w:r>
    </w:p>
    <w:p w14:paraId="490705AC" w14:textId="77777777" w:rsidR="007219E4" w:rsidRPr="004070B8" w:rsidRDefault="007219E4" w:rsidP="005A2A5C">
      <w:pPr>
        <w:numPr>
          <w:ilvl w:val="0"/>
          <w:numId w:val="23"/>
        </w:numPr>
        <w:spacing w:line="276" w:lineRule="auto"/>
        <w:rPr>
          <w:rFonts w:asciiTheme="minorHAnsi" w:hAnsiTheme="minorHAnsi"/>
        </w:rPr>
      </w:pPr>
      <w:r w:rsidRPr="004070B8">
        <w:rPr>
          <w:rFonts w:asciiTheme="minorHAnsi" w:hAnsiTheme="minorHAnsi"/>
        </w:rPr>
        <w:t>Patient’s total body weight (kg)</w:t>
      </w:r>
    </w:p>
    <w:p w14:paraId="2D717539" w14:textId="77777777" w:rsidR="007219E4" w:rsidRPr="004070B8" w:rsidRDefault="007219E4" w:rsidP="005A2A5C">
      <w:pPr>
        <w:numPr>
          <w:ilvl w:val="0"/>
          <w:numId w:val="23"/>
        </w:numPr>
        <w:spacing w:line="276" w:lineRule="auto"/>
        <w:rPr>
          <w:rFonts w:asciiTheme="minorHAnsi" w:hAnsiTheme="minorHAnsi"/>
        </w:rPr>
      </w:pPr>
      <w:r w:rsidRPr="004070B8">
        <w:rPr>
          <w:rFonts w:asciiTheme="minorHAnsi" w:hAnsiTheme="minorHAnsi"/>
        </w:rPr>
        <w:t>Time the blood sample is due (24 hour time)</w:t>
      </w:r>
    </w:p>
    <w:p w14:paraId="78FAB7D6" w14:textId="77777777" w:rsidR="007219E4" w:rsidRDefault="007219E4" w:rsidP="007219E4">
      <w:pPr>
        <w:rPr>
          <w:rFonts w:asciiTheme="minorHAnsi" w:hAnsiTheme="minorHAnsi"/>
          <w:b/>
        </w:rPr>
      </w:pPr>
    </w:p>
    <w:p w14:paraId="75689C0E" w14:textId="5CAEBA91" w:rsidR="007219E4" w:rsidRPr="004070B8" w:rsidRDefault="007219E4" w:rsidP="007219E4">
      <w:pPr>
        <w:rPr>
          <w:rFonts w:asciiTheme="minorHAnsi" w:hAnsiTheme="minorHAnsi"/>
          <w:b/>
        </w:rPr>
      </w:pPr>
      <w:r w:rsidRPr="004070B8">
        <w:rPr>
          <w:rFonts w:asciiTheme="minorHAnsi" w:hAnsiTheme="minorHAnsi"/>
          <w:b/>
        </w:rPr>
        <w:t>Reviewing results</w:t>
      </w:r>
      <w:r w:rsidR="00CD36D9">
        <w:rPr>
          <w:rFonts w:asciiTheme="minorHAnsi" w:hAnsiTheme="minorHAnsi"/>
          <w:b/>
        </w:rPr>
        <w:t xml:space="preserve"> and subsequent dosing and monitoring</w:t>
      </w:r>
      <w:r w:rsidRPr="004070B8">
        <w:rPr>
          <w:rFonts w:asciiTheme="minorHAnsi" w:hAnsiTheme="minorHAnsi"/>
          <w:b/>
        </w:rPr>
        <w:t>:</w:t>
      </w:r>
    </w:p>
    <w:p w14:paraId="4937B3D4" w14:textId="1D206C90" w:rsidR="007219E4" w:rsidRDefault="007E3120" w:rsidP="007219E4">
      <w:pPr>
        <w:rPr>
          <w:rFonts w:asciiTheme="minorHAnsi" w:hAnsiTheme="minorHAnsi"/>
        </w:rPr>
      </w:pPr>
      <w:r>
        <w:rPr>
          <w:rFonts w:asciiTheme="minorHAnsi" w:hAnsiTheme="minorHAnsi"/>
        </w:rPr>
        <w:t xml:space="preserve">Results can be reviewed on the CIS and subsequent dosing managed as per </w:t>
      </w:r>
      <w:hyperlink w:anchor="_Section_2.1:_" w:history="1">
        <w:r w:rsidRPr="00CD36D9">
          <w:rPr>
            <w:rStyle w:val="Hyperlink"/>
            <w:rFonts w:asciiTheme="minorHAnsi" w:hAnsiTheme="minorHAnsi"/>
          </w:rPr>
          <w:t>single-sample TDM</w:t>
        </w:r>
      </w:hyperlink>
      <w:r>
        <w:rPr>
          <w:rFonts w:asciiTheme="minorHAnsi" w:hAnsiTheme="minorHAnsi"/>
        </w:rPr>
        <w:t xml:space="preserve">. </w:t>
      </w:r>
      <w:r w:rsidR="00CD36D9">
        <w:rPr>
          <w:rFonts w:asciiTheme="minorHAnsi" w:hAnsiTheme="minorHAnsi"/>
        </w:rPr>
        <w:t xml:space="preserve">For patients with cystic fibrosis or prescribed amikacin, consult your pharmacist for subsequent dosing and monitoring. </w:t>
      </w:r>
    </w:p>
    <w:p w14:paraId="6832436A" w14:textId="77777777" w:rsidR="00CD36D9" w:rsidRDefault="00CD36D9" w:rsidP="00DC660A"/>
    <w:p w14:paraId="3F7D6448" w14:textId="6AE10DF6" w:rsidR="00DC660A" w:rsidRPr="00827F7A" w:rsidRDefault="00DC660A" w:rsidP="007C6707">
      <w:pPr>
        <w:pStyle w:val="Heading2"/>
      </w:pPr>
      <w:bookmarkStart w:id="27" w:name="_Section_2.3:_TDM"/>
      <w:bookmarkStart w:id="28" w:name="_Toc38371908"/>
      <w:bookmarkEnd w:id="27"/>
      <w:r w:rsidRPr="00827F7A">
        <w:t xml:space="preserve">Section </w:t>
      </w:r>
      <w:r w:rsidR="008741DB">
        <w:t>2</w:t>
      </w:r>
      <w:r w:rsidR="00C77986">
        <w:t>.3</w:t>
      </w:r>
      <w:r w:rsidRPr="00827F7A">
        <w:t xml:space="preserve">: </w:t>
      </w:r>
      <w:r w:rsidR="00125E74">
        <w:t>TDM</w:t>
      </w:r>
      <w:r w:rsidRPr="00827F7A">
        <w:t xml:space="preserve"> </w:t>
      </w:r>
      <w:r w:rsidR="007219E4">
        <w:t>for unique indications</w:t>
      </w:r>
      <w:bookmarkEnd w:id="28"/>
    </w:p>
    <w:p w14:paraId="487CE929" w14:textId="7146D20D" w:rsidR="00DC660A" w:rsidRPr="00244945" w:rsidRDefault="00DC660A" w:rsidP="00DC660A">
      <w:pPr>
        <w:rPr>
          <w:rFonts w:asciiTheme="minorHAnsi" w:hAnsiTheme="minorHAnsi"/>
        </w:rPr>
      </w:pPr>
      <w:r w:rsidRPr="00244945">
        <w:rPr>
          <w:rFonts w:asciiTheme="minorHAnsi" w:hAnsiTheme="minorHAnsi"/>
        </w:rPr>
        <w:t>This section applies to patients with mycobacterial infections and endocarditis</w:t>
      </w:r>
      <w:r w:rsidR="00C81482">
        <w:rPr>
          <w:rFonts w:asciiTheme="minorHAnsi" w:hAnsiTheme="minorHAnsi"/>
        </w:rPr>
        <w:t>.</w:t>
      </w:r>
    </w:p>
    <w:p w14:paraId="5F8CB9D1" w14:textId="77777777" w:rsidR="007C6707" w:rsidRDefault="007C6707" w:rsidP="007C6707">
      <w:pPr>
        <w:pStyle w:val="Heading3"/>
      </w:pPr>
    </w:p>
    <w:p w14:paraId="7B099CE9" w14:textId="01D946AA" w:rsidR="00DC660A" w:rsidRPr="001F22C7" w:rsidRDefault="00DC660A" w:rsidP="007C6707">
      <w:pPr>
        <w:pStyle w:val="Heading3"/>
      </w:pPr>
      <w:bookmarkStart w:id="29" w:name="_Toc38371909"/>
      <w:r w:rsidRPr="001F22C7">
        <w:t xml:space="preserve">Section </w:t>
      </w:r>
      <w:r w:rsidR="008741DB" w:rsidRPr="001F22C7">
        <w:t>2</w:t>
      </w:r>
      <w:r w:rsidR="00C77986" w:rsidRPr="001F22C7">
        <w:t>.3</w:t>
      </w:r>
      <w:r w:rsidRPr="001F22C7">
        <w:t>.1: Mycobacterial infections</w:t>
      </w:r>
      <w:bookmarkEnd w:id="29"/>
    </w:p>
    <w:p w14:paraId="3AD5A0BD" w14:textId="1EDC47E5" w:rsidR="00DC660A" w:rsidRPr="00601C5B" w:rsidRDefault="00DC660A" w:rsidP="00DC660A">
      <w:pPr>
        <w:rPr>
          <w:rFonts w:asciiTheme="minorHAnsi" w:hAnsiTheme="minorHAnsi"/>
          <w:szCs w:val="24"/>
        </w:rPr>
      </w:pPr>
      <w:r w:rsidRPr="00601C5B">
        <w:rPr>
          <w:rFonts w:asciiTheme="minorHAnsi" w:hAnsiTheme="minorHAnsi"/>
          <w:szCs w:val="24"/>
        </w:rPr>
        <w:t>Patients treated with amikacin for mycobacterial infections often require a prolonged course and the dosing regimen differ</w:t>
      </w:r>
      <w:r w:rsidR="00E7197A">
        <w:rPr>
          <w:rFonts w:asciiTheme="minorHAnsi" w:hAnsiTheme="minorHAnsi"/>
          <w:szCs w:val="24"/>
        </w:rPr>
        <w:t>s</w:t>
      </w:r>
      <w:r w:rsidRPr="00601C5B">
        <w:rPr>
          <w:rFonts w:asciiTheme="minorHAnsi" w:hAnsiTheme="minorHAnsi"/>
          <w:szCs w:val="24"/>
        </w:rPr>
        <w:t xml:space="preserve"> from that of standard bacterial infections.  </w:t>
      </w:r>
      <w:r w:rsidR="00E45B65">
        <w:rPr>
          <w:rFonts w:asciiTheme="minorHAnsi" w:hAnsiTheme="minorHAnsi"/>
          <w:szCs w:val="24"/>
        </w:rPr>
        <w:t xml:space="preserve">The best monitoring strategy is </w:t>
      </w:r>
      <w:r w:rsidRPr="00601C5B">
        <w:rPr>
          <w:rFonts w:asciiTheme="minorHAnsi" w:hAnsiTheme="minorHAnsi"/>
          <w:szCs w:val="24"/>
        </w:rPr>
        <w:t xml:space="preserve">not well established, however regular trough concentrations are usually recommended to exclude accumulation and toxicity risk.  Sampling at other times, such as peak concentrations, may be conducted to help characterise the pharmacokinetic profile in patient, particularly if the patient is expected to have unpredictable pharmacokinetics (e.g. renal failure, cystic fibrosis). Consult the AMS/ID pharmacist for further advice. </w:t>
      </w:r>
    </w:p>
    <w:p w14:paraId="30844382" w14:textId="77777777" w:rsidR="00244945" w:rsidRPr="00601C5B" w:rsidRDefault="00244945" w:rsidP="00DC660A">
      <w:pPr>
        <w:rPr>
          <w:rFonts w:asciiTheme="minorHAnsi" w:hAnsiTheme="minorHAnsi"/>
          <w:szCs w:val="24"/>
        </w:rPr>
      </w:pPr>
    </w:p>
    <w:p w14:paraId="5009B184" w14:textId="77777777" w:rsidR="009568D4" w:rsidRDefault="00DC660A" w:rsidP="00DC660A">
      <w:pPr>
        <w:rPr>
          <w:rFonts w:asciiTheme="minorHAnsi" w:hAnsiTheme="minorHAnsi"/>
          <w:szCs w:val="24"/>
        </w:rPr>
      </w:pPr>
      <w:r w:rsidRPr="00601C5B">
        <w:rPr>
          <w:rFonts w:asciiTheme="minorHAnsi" w:hAnsiTheme="minorHAnsi"/>
          <w:b/>
          <w:szCs w:val="24"/>
        </w:rPr>
        <w:t>Trough (pre-dose) concentrations</w:t>
      </w:r>
      <w:r w:rsidRPr="00601C5B">
        <w:rPr>
          <w:rFonts w:asciiTheme="minorHAnsi" w:hAnsiTheme="minorHAnsi"/>
          <w:szCs w:val="24"/>
        </w:rPr>
        <w:t xml:space="preserve"> </w:t>
      </w:r>
    </w:p>
    <w:p w14:paraId="5D1EABB1" w14:textId="44F794D9" w:rsidR="00DC660A" w:rsidRPr="00601C5B" w:rsidRDefault="00DC660A" w:rsidP="00DC660A">
      <w:pPr>
        <w:rPr>
          <w:rFonts w:asciiTheme="minorHAnsi" w:hAnsiTheme="minorHAnsi"/>
          <w:szCs w:val="24"/>
        </w:rPr>
      </w:pPr>
      <w:r w:rsidRPr="00601C5B">
        <w:rPr>
          <w:rFonts w:asciiTheme="minorHAnsi" w:hAnsiTheme="minorHAnsi"/>
          <w:szCs w:val="24"/>
        </w:rPr>
        <w:t xml:space="preserve">Perform </w:t>
      </w:r>
      <w:r w:rsidR="009568D4">
        <w:rPr>
          <w:rFonts w:asciiTheme="minorHAnsi" w:hAnsiTheme="minorHAnsi"/>
          <w:szCs w:val="24"/>
        </w:rPr>
        <w:t xml:space="preserve">after the first dose, then </w:t>
      </w:r>
      <w:r w:rsidRPr="00601C5B">
        <w:rPr>
          <w:rFonts w:asciiTheme="minorHAnsi" w:hAnsiTheme="minorHAnsi"/>
          <w:szCs w:val="24"/>
        </w:rPr>
        <w:t>weekly for the first 2 weeks</w:t>
      </w:r>
      <w:r w:rsidR="009568D4">
        <w:rPr>
          <w:rFonts w:asciiTheme="minorHAnsi" w:hAnsiTheme="minorHAnsi"/>
          <w:szCs w:val="24"/>
        </w:rPr>
        <w:t>, and</w:t>
      </w:r>
      <w:r w:rsidRPr="00601C5B">
        <w:rPr>
          <w:rFonts w:asciiTheme="minorHAnsi" w:hAnsiTheme="minorHAnsi"/>
          <w:szCs w:val="24"/>
        </w:rPr>
        <w:t xml:space="preserve"> then monthly</w:t>
      </w:r>
      <w:r w:rsidR="009568D4">
        <w:rPr>
          <w:rFonts w:asciiTheme="minorHAnsi" w:hAnsiTheme="minorHAnsi"/>
          <w:szCs w:val="24"/>
        </w:rPr>
        <w:t xml:space="preserve"> thereafter. M</w:t>
      </w:r>
      <w:r w:rsidRPr="00601C5B">
        <w:rPr>
          <w:rFonts w:asciiTheme="minorHAnsi" w:hAnsiTheme="minorHAnsi"/>
          <w:szCs w:val="24"/>
        </w:rPr>
        <w:t>ore frequent</w:t>
      </w:r>
      <w:r w:rsidR="009568D4">
        <w:rPr>
          <w:rFonts w:asciiTheme="minorHAnsi" w:hAnsiTheme="minorHAnsi"/>
          <w:szCs w:val="24"/>
        </w:rPr>
        <w:t xml:space="preserve"> monitoring may be required</w:t>
      </w:r>
      <w:r w:rsidRPr="00601C5B">
        <w:rPr>
          <w:rFonts w:asciiTheme="minorHAnsi" w:hAnsiTheme="minorHAnsi"/>
          <w:szCs w:val="24"/>
        </w:rPr>
        <w:t xml:space="preserve"> if </w:t>
      </w:r>
      <w:r w:rsidR="009568D4">
        <w:rPr>
          <w:rFonts w:asciiTheme="minorHAnsi" w:hAnsiTheme="minorHAnsi"/>
          <w:szCs w:val="24"/>
        </w:rPr>
        <w:t>there is a change in dose or if the renal function is not stable</w:t>
      </w:r>
      <w:r w:rsidRPr="00601C5B">
        <w:rPr>
          <w:rFonts w:asciiTheme="minorHAnsi" w:hAnsiTheme="minorHAnsi"/>
          <w:szCs w:val="24"/>
        </w:rPr>
        <w:t>.</w:t>
      </w:r>
      <w:r w:rsidR="00C81482">
        <w:rPr>
          <w:rFonts w:asciiTheme="minorHAnsi" w:hAnsiTheme="minorHAnsi"/>
          <w:szCs w:val="24"/>
        </w:rPr>
        <w:t xml:space="preserve"> The target trough concentration is &lt;0.3mg/L (below limit of </w:t>
      </w:r>
      <w:r w:rsidR="00C81482">
        <w:rPr>
          <w:rFonts w:asciiTheme="minorHAnsi" w:hAnsiTheme="minorHAnsi"/>
          <w:szCs w:val="24"/>
        </w:rPr>
        <w:lastRenderedPageBreak/>
        <w:t xml:space="preserve">detection). Reduce the dose if the measured trough concentration exceeds this – seek advice from your pharmacist. </w:t>
      </w:r>
    </w:p>
    <w:p w14:paraId="7CAD7A7E" w14:textId="77777777" w:rsidR="00244945" w:rsidRPr="00601C5B" w:rsidRDefault="00244945" w:rsidP="00DC660A">
      <w:pPr>
        <w:rPr>
          <w:rFonts w:asciiTheme="minorHAnsi" w:hAnsiTheme="minorHAnsi"/>
          <w:szCs w:val="24"/>
        </w:rPr>
      </w:pPr>
    </w:p>
    <w:p w14:paraId="7C686117" w14:textId="77777777" w:rsidR="009568D4" w:rsidRDefault="00DC660A" w:rsidP="00DC660A">
      <w:pPr>
        <w:rPr>
          <w:rFonts w:asciiTheme="minorHAnsi" w:hAnsiTheme="minorHAnsi"/>
          <w:szCs w:val="24"/>
        </w:rPr>
      </w:pPr>
      <w:r w:rsidRPr="009568D4">
        <w:rPr>
          <w:rFonts w:asciiTheme="minorHAnsi" w:hAnsiTheme="minorHAnsi"/>
          <w:b/>
          <w:szCs w:val="24"/>
        </w:rPr>
        <w:t>Peak concentrations</w:t>
      </w:r>
      <w:r w:rsidRPr="00601C5B">
        <w:rPr>
          <w:rFonts w:asciiTheme="minorHAnsi" w:hAnsiTheme="minorHAnsi"/>
          <w:szCs w:val="24"/>
        </w:rPr>
        <w:t xml:space="preserve"> </w:t>
      </w:r>
    </w:p>
    <w:p w14:paraId="264121C5" w14:textId="57608344" w:rsidR="00DC660A" w:rsidRPr="00601C5B" w:rsidRDefault="009568D4" w:rsidP="00DC660A">
      <w:pPr>
        <w:rPr>
          <w:rFonts w:asciiTheme="minorHAnsi" w:hAnsiTheme="minorHAnsi"/>
          <w:szCs w:val="24"/>
        </w:rPr>
      </w:pPr>
      <w:r>
        <w:rPr>
          <w:rFonts w:asciiTheme="minorHAnsi" w:hAnsiTheme="minorHAnsi"/>
          <w:szCs w:val="24"/>
        </w:rPr>
        <w:t xml:space="preserve">Peak concentrations </w:t>
      </w:r>
      <w:r w:rsidR="00DC660A" w:rsidRPr="00601C5B">
        <w:rPr>
          <w:rFonts w:asciiTheme="minorHAnsi" w:hAnsiTheme="minorHAnsi"/>
          <w:szCs w:val="24"/>
        </w:rPr>
        <w:t xml:space="preserve">are not considered routine practice. Concentrations between 25-45mg/L have been reported in the literature after a 15mg/kg dose, and concentrations between 65-80mg/L have been reported after a 25mg/kg dose. These ranges are not </w:t>
      </w:r>
      <w:r w:rsidR="00D07169">
        <w:rPr>
          <w:rFonts w:asciiTheme="minorHAnsi" w:hAnsiTheme="minorHAnsi"/>
          <w:szCs w:val="24"/>
        </w:rPr>
        <w:t xml:space="preserve">considered to be validated </w:t>
      </w:r>
      <w:r w:rsidR="00DC660A" w:rsidRPr="00601C5B">
        <w:rPr>
          <w:rFonts w:asciiTheme="minorHAnsi" w:hAnsiTheme="minorHAnsi"/>
          <w:szCs w:val="24"/>
        </w:rPr>
        <w:t xml:space="preserve">clinical targets. </w:t>
      </w:r>
      <w:r>
        <w:rPr>
          <w:rFonts w:asciiTheme="minorHAnsi" w:hAnsiTheme="minorHAnsi"/>
          <w:szCs w:val="24"/>
        </w:rPr>
        <w:t>If required, p</w:t>
      </w:r>
      <w:r w:rsidR="00DC660A" w:rsidRPr="00601C5B">
        <w:rPr>
          <w:rFonts w:asciiTheme="minorHAnsi" w:hAnsiTheme="minorHAnsi"/>
          <w:szCs w:val="24"/>
        </w:rPr>
        <w:t xml:space="preserve">eak concentrations are measured 30 minutes after the completion of </w:t>
      </w:r>
      <w:r w:rsidR="00893CC7">
        <w:rPr>
          <w:rFonts w:asciiTheme="minorHAnsi" w:hAnsiTheme="minorHAnsi"/>
          <w:szCs w:val="24"/>
        </w:rPr>
        <w:t xml:space="preserve">the </w:t>
      </w:r>
      <w:r w:rsidR="00DC660A" w:rsidRPr="00601C5B">
        <w:rPr>
          <w:rFonts w:asciiTheme="minorHAnsi" w:hAnsiTheme="minorHAnsi"/>
          <w:szCs w:val="24"/>
        </w:rPr>
        <w:t xml:space="preserve">infusion. </w:t>
      </w:r>
    </w:p>
    <w:p w14:paraId="2BB94EEB" w14:textId="77777777" w:rsidR="00244945" w:rsidRPr="00601C5B" w:rsidRDefault="00244945" w:rsidP="00DC660A">
      <w:pPr>
        <w:rPr>
          <w:rFonts w:asciiTheme="minorHAnsi" w:hAnsiTheme="minorHAnsi"/>
          <w:szCs w:val="24"/>
        </w:rPr>
      </w:pPr>
    </w:p>
    <w:p w14:paraId="61EC4569" w14:textId="77777777" w:rsidR="007537B5" w:rsidRDefault="007537B5" w:rsidP="007537B5">
      <w:pPr>
        <w:rPr>
          <w:rFonts w:asciiTheme="minorHAnsi" w:hAnsiTheme="minorHAnsi"/>
        </w:rPr>
      </w:pPr>
      <w:r>
        <w:rPr>
          <w:rFonts w:asciiTheme="minorHAnsi" w:hAnsiTheme="minorHAnsi"/>
        </w:rPr>
        <w:t xml:space="preserve">See </w:t>
      </w:r>
      <w:hyperlink w:anchor="_Section_2.3.3_Clinical" w:history="1">
        <w:r w:rsidRPr="006379ED">
          <w:rPr>
            <w:rStyle w:val="Hyperlink"/>
            <w:rFonts w:asciiTheme="minorHAnsi" w:hAnsiTheme="minorHAnsi"/>
          </w:rPr>
          <w:t>Section 2.</w:t>
        </w:r>
        <w:r>
          <w:rPr>
            <w:rStyle w:val="Hyperlink"/>
            <w:rFonts w:asciiTheme="minorHAnsi" w:hAnsiTheme="minorHAnsi"/>
          </w:rPr>
          <w:t>4</w:t>
        </w:r>
      </w:hyperlink>
      <w:r>
        <w:rPr>
          <w:rFonts w:asciiTheme="minorHAnsi" w:hAnsiTheme="minorHAnsi"/>
        </w:rPr>
        <w:t xml:space="preserve"> for additional information for clinical monitoring required for prolonged courses of aminoglycoside therapy.</w:t>
      </w:r>
    </w:p>
    <w:p w14:paraId="2B49E15F" w14:textId="77777777" w:rsidR="007C6707" w:rsidRDefault="007C6707" w:rsidP="00181A6A">
      <w:pPr>
        <w:rPr>
          <w:rFonts w:asciiTheme="minorHAnsi" w:hAnsiTheme="minorHAnsi"/>
        </w:rPr>
      </w:pPr>
    </w:p>
    <w:p w14:paraId="1EF1A71E" w14:textId="57EE122A" w:rsidR="00244945" w:rsidRDefault="00DC660A" w:rsidP="007C6707">
      <w:pPr>
        <w:pStyle w:val="Heading3"/>
        <w:rPr>
          <w:rFonts w:asciiTheme="minorHAnsi" w:hAnsiTheme="minorHAnsi"/>
        </w:rPr>
      </w:pPr>
      <w:bookmarkStart w:id="30" w:name="_Toc38371910"/>
      <w:r w:rsidRPr="001F22C7">
        <w:rPr>
          <w:rFonts w:eastAsia="Calibri"/>
        </w:rPr>
        <w:t xml:space="preserve">Section </w:t>
      </w:r>
      <w:r w:rsidR="008741DB" w:rsidRPr="001F22C7">
        <w:rPr>
          <w:rFonts w:eastAsia="Calibri"/>
        </w:rPr>
        <w:t>2</w:t>
      </w:r>
      <w:r w:rsidR="00C77986" w:rsidRPr="001F22C7">
        <w:rPr>
          <w:rFonts w:eastAsia="Calibri"/>
        </w:rPr>
        <w:t>.3</w:t>
      </w:r>
      <w:r w:rsidRPr="001F22C7">
        <w:rPr>
          <w:rFonts w:eastAsia="Calibri"/>
        </w:rPr>
        <w:t>.2 Endocarditis</w:t>
      </w:r>
      <w:r w:rsidRPr="00244945">
        <w:t xml:space="preserve"> – synergistic dosing</w:t>
      </w:r>
      <w:bookmarkEnd w:id="30"/>
    </w:p>
    <w:p w14:paraId="4A427BA9" w14:textId="765F7795" w:rsidR="00DC6C5C" w:rsidRPr="00244945" w:rsidRDefault="00DC660A" w:rsidP="00DC6C5C">
      <w:pPr>
        <w:rPr>
          <w:rFonts w:asciiTheme="minorHAnsi" w:hAnsiTheme="minorHAnsi"/>
        </w:rPr>
      </w:pPr>
      <w:r w:rsidRPr="00244945">
        <w:rPr>
          <w:rFonts w:asciiTheme="minorHAnsi" w:hAnsiTheme="minorHAnsi"/>
        </w:rPr>
        <w:t xml:space="preserve">Trough (pre-dose) gentamicin concentrations should be performed at least twice a week for gentamicin synergistic regimens (8-hourly or 12-hourly). In patients with acute changes to their renal function it may be necessary to monitor trough concentrations daily. </w:t>
      </w:r>
      <w:r w:rsidR="00DC6C5C" w:rsidRPr="00244945">
        <w:rPr>
          <w:rFonts w:asciiTheme="minorHAnsi" w:hAnsiTheme="minorHAnsi"/>
        </w:rPr>
        <w:t xml:space="preserve">Aim for Trough concentrations 0.5-1mg/L to minimise toxicity. If trough concentrations are elevated it may be necessary to reduce the </w:t>
      </w:r>
      <w:r w:rsidR="009568D4">
        <w:rPr>
          <w:rFonts w:asciiTheme="minorHAnsi" w:hAnsiTheme="minorHAnsi"/>
        </w:rPr>
        <w:t xml:space="preserve">dose or dose </w:t>
      </w:r>
      <w:r w:rsidR="00DC6C5C" w:rsidRPr="00244945">
        <w:rPr>
          <w:rFonts w:asciiTheme="minorHAnsi" w:hAnsiTheme="minorHAnsi"/>
        </w:rPr>
        <w:t>frequency</w:t>
      </w:r>
      <w:r w:rsidR="004A636C">
        <w:rPr>
          <w:rFonts w:asciiTheme="minorHAnsi" w:hAnsiTheme="minorHAnsi"/>
        </w:rPr>
        <w:t xml:space="preserve"> as per Table 6.</w:t>
      </w:r>
    </w:p>
    <w:p w14:paraId="60F6F904" w14:textId="77777777" w:rsidR="001F22C7" w:rsidRDefault="001F22C7">
      <w:pPr>
        <w:rPr>
          <w:rFonts w:asciiTheme="minorHAnsi" w:hAnsiTheme="minorHAnsi"/>
        </w:rPr>
      </w:pPr>
    </w:p>
    <w:p w14:paraId="44868C1E" w14:textId="0222730B" w:rsidR="00DC6C5C" w:rsidRDefault="004A636C" w:rsidP="00DC660A">
      <w:pPr>
        <w:rPr>
          <w:rFonts w:asciiTheme="minorHAnsi" w:hAnsiTheme="minorHAnsi"/>
        </w:rPr>
      </w:pPr>
      <w:r>
        <w:rPr>
          <w:rFonts w:asciiTheme="minorHAnsi" w:hAnsiTheme="minorHAnsi"/>
        </w:rPr>
        <w:t>Table 6</w:t>
      </w:r>
      <w:r w:rsidR="00DC6C5C">
        <w:rPr>
          <w:rFonts w:asciiTheme="minorHAnsi" w:hAnsiTheme="minorHAnsi"/>
        </w:rPr>
        <w:t xml:space="preserve">: Dose adjustments for synergistic gentamicin </w:t>
      </w:r>
    </w:p>
    <w:tbl>
      <w:tblPr>
        <w:tblStyle w:val="TableGrid"/>
        <w:tblW w:w="0" w:type="auto"/>
        <w:tblLook w:val="04A0" w:firstRow="1" w:lastRow="0" w:firstColumn="1" w:lastColumn="0" w:noHBand="0" w:noVBand="1"/>
      </w:tblPr>
      <w:tblGrid>
        <w:gridCol w:w="4530"/>
        <w:gridCol w:w="4530"/>
      </w:tblGrid>
      <w:tr w:rsidR="00DC6C5C" w14:paraId="5F2FDE67" w14:textId="77777777" w:rsidTr="00DC6C5C">
        <w:tc>
          <w:tcPr>
            <w:tcW w:w="4530" w:type="dxa"/>
          </w:tcPr>
          <w:p w14:paraId="2769FD5D" w14:textId="55D0BF85" w:rsidR="00DC6C5C" w:rsidRPr="00DC6C5C" w:rsidRDefault="00DC6C5C" w:rsidP="00DC660A">
            <w:pPr>
              <w:rPr>
                <w:rFonts w:asciiTheme="minorHAnsi" w:hAnsiTheme="minorHAnsi"/>
                <w:b/>
                <w:sz w:val="22"/>
              </w:rPr>
            </w:pPr>
            <w:r w:rsidRPr="00DC6C5C">
              <w:rPr>
                <w:rFonts w:asciiTheme="minorHAnsi" w:hAnsiTheme="minorHAnsi"/>
                <w:b/>
                <w:sz w:val="22"/>
              </w:rPr>
              <w:t xml:space="preserve">Trough concentration </w:t>
            </w:r>
          </w:p>
        </w:tc>
        <w:tc>
          <w:tcPr>
            <w:tcW w:w="4530" w:type="dxa"/>
          </w:tcPr>
          <w:p w14:paraId="28299B19" w14:textId="4A740AD5" w:rsidR="00DC6C5C" w:rsidRPr="00DC6C5C" w:rsidRDefault="00DC6C5C" w:rsidP="00DC660A">
            <w:pPr>
              <w:rPr>
                <w:rFonts w:asciiTheme="minorHAnsi" w:hAnsiTheme="minorHAnsi"/>
                <w:b/>
                <w:sz w:val="22"/>
              </w:rPr>
            </w:pPr>
            <w:r w:rsidRPr="00DC6C5C">
              <w:rPr>
                <w:rFonts w:asciiTheme="minorHAnsi" w:hAnsiTheme="minorHAnsi"/>
                <w:b/>
                <w:sz w:val="22"/>
              </w:rPr>
              <w:t>Dose adjustment</w:t>
            </w:r>
          </w:p>
        </w:tc>
      </w:tr>
      <w:tr w:rsidR="00DC6C5C" w14:paraId="62411AAD" w14:textId="77777777" w:rsidTr="00DC6C5C">
        <w:tc>
          <w:tcPr>
            <w:tcW w:w="4530" w:type="dxa"/>
          </w:tcPr>
          <w:p w14:paraId="6675C281" w14:textId="561546DA" w:rsidR="00DC6C5C" w:rsidRPr="00DC6C5C" w:rsidRDefault="00DC6C5C" w:rsidP="00DC660A">
            <w:pPr>
              <w:rPr>
                <w:rFonts w:asciiTheme="minorHAnsi" w:hAnsiTheme="minorHAnsi"/>
                <w:sz w:val="22"/>
              </w:rPr>
            </w:pPr>
            <w:r w:rsidRPr="00DC6C5C">
              <w:rPr>
                <w:rFonts w:asciiTheme="minorHAnsi" w:hAnsiTheme="minorHAnsi"/>
                <w:sz w:val="22"/>
              </w:rPr>
              <w:t>&gt;1mg/L</w:t>
            </w:r>
          </w:p>
        </w:tc>
        <w:tc>
          <w:tcPr>
            <w:tcW w:w="4530" w:type="dxa"/>
          </w:tcPr>
          <w:p w14:paraId="4EB3C95F" w14:textId="7B1EFF20" w:rsidR="00DC6C5C" w:rsidRPr="00DC6C5C" w:rsidRDefault="00DC6C5C" w:rsidP="00DC6C5C">
            <w:pPr>
              <w:rPr>
                <w:rFonts w:asciiTheme="minorHAnsi" w:hAnsiTheme="minorHAnsi"/>
                <w:sz w:val="22"/>
              </w:rPr>
            </w:pPr>
            <w:r w:rsidRPr="00DC6C5C">
              <w:rPr>
                <w:rFonts w:asciiTheme="minorHAnsi" w:hAnsiTheme="minorHAnsi"/>
                <w:sz w:val="22"/>
              </w:rPr>
              <w:t>Decrease dose or frequency</w:t>
            </w:r>
          </w:p>
        </w:tc>
      </w:tr>
      <w:tr w:rsidR="00DC6C5C" w14:paraId="058A0833" w14:textId="77777777" w:rsidTr="00DC6C5C">
        <w:tc>
          <w:tcPr>
            <w:tcW w:w="4530" w:type="dxa"/>
          </w:tcPr>
          <w:p w14:paraId="06121EE7" w14:textId="1B69312C" w:rsidR="00DC6C5C" w:rsidRPr="00DC6C5C" w:rsidRDefault="00DC6C5C" w:rsidP="00DC660A">
            <w:pPr>
              <w:rPr>
                <w:rFonts w:asciiTheme="minorHAnsi" w:hAnsiTheme="minorHAnsi"/>
                <w:sz w:val="22"/>
              </w:rPr>
            </w:pPr>
            <w:r w:rsidRPr="00DC6C5C">
              <w:rPr>
                <w:rFonts w:asciiTheme="minorHAnsi" w:hAnsiTheme="minorHAnsi"/>
                <w:sz w:val="22"/>
              </w:rPr>
              <w:t>0.5-1mg/L</w:t>
            </w:r>
          </w:p>
        </w:tc>
        <w:tc>
          <w:tcPr>
            <w:tcW w:w="4530" w:type="dxa"/>
          </w:tcPr>
          <w:p w14:paraId="00382903" w14:textId="0BF4D4BB" w:rsidR="00DC6C5C" w:rsidRPr="00DC6C5C" w:rsidRDefault="00DC6C5C" w:rsidP="00DC6C5C">
            <w:pPr>
              <w:rPr>
                <w:rFonts w:asciiTheme="minorHAnsi" w:hAnsiTheme="minorHAnsi"/>
                <w:sz w:val="22"/>
              </w:rPr>
            </w:pPr>
            <w:r w:rsidRPr="00DC6C5C">
              <w:rPr>
                <w:rFonts w:asciiTheme="minorHAnsi" w:hAnsiTheme="minorHAnsi"/>
                <w:sz w:val="22"/>
              </w:rPr>
              <w:t>Continue current dose</w:t>
            </w:r>
          </w:p>
        </w:tc>
      </w:tr>
      <w:tr w:rsidR="00DC6C5C" w14:paraId="64086627" w14:textId="77777777" w:rsidTr="00DC6C5C">
        <w:tc>
          <w:tcPr>
            <w:tcW w:w="4530" w:type="dxa"/>
          </w:tcPr>
          <w:p w14:paraId="6ACC081A" w14:textId="1DC86E6E" w:rsidR="00DC6C5C" w:rsidRPr="00DC6C5C" w:rsidRDefault="00DC6C5C" w:rsidP="00DC6C5C">
            <w:pPr>
              <w:rPr>
                <w:rFonts w:asciiTheme="minorHAnsi" w:hAnsiTheme="minorHAnsi"/>
                <w:sz w:val="22"/>
              </w:rPr>
            </w:pPr>
            <w:r w:rsidRPr="00DC6C5C">
              <w:rPr>
                <w:rFonts w:asciiTheme="minorHAnsi" w:hAnsiTheme="minorHAnsi"/>
                <w:sz w:val="22"/>
              </w:rPr>
              <w:t xml:space="preserve">Undetectable </w:t>
            </w:r>
          </w:p>
        </w:tc>
        <w:tc>
          <w:tcPr>
            <w:tcW w:w="4530" w:type="dxa"/>
          </w:tcPr>
          <w:p w14:paraId="305FBDFD" w14:textId="6CAD5ABA" w:rsidR="00DC6C5C" w:rsidRPr="00DC6C5C" w:rsidRDefault="00DC6C5C" w:rsidP="00DC6C5C">
            <w:pPr>
              <w:rPr>
                <w:rFonts w:asciiTheme="minorHAnsi" w:hAnsiTheme="minorHAnsi"/>
                <w:sz w:val="22"/>
              </w:rPr>
            </w:pPr>
            <w:r w:rsidRPr="00DC6C5C">
              <w:rPr>
                <w:rFonts w:asciiTheme="minorHAnsi" w:hAnsiTheme="minorHAnsi"/>
                <w:sz w:val="22"/>
              </w:rPr>
              <w:t>Increase dose or frequency</w:t>
            </w:r>
          </w:p>
        </w:tc>
      </w:tr>
    </w:tbl>
    <w:p w14:paraId="6F2E695B" w14:textId="77777777" w:rsidR="00DC6C5C" w:rsidRDefault="00DC6C5C" w:rsidP="00DC660A">
      <w:pPr>
        <w:rPr>
          <w:rFonts w:asciiTheme="minorHAnsi" w:hAnsiTheme="minorHAnsi"/>
        </w:rPr>
      </w:pPr>
    </w:p>
    <w:p w14:paraId="282BEDF9" w14:textId="77777777" w:rsidR="00F574F2" w:rsidRDefault="00F574F2" w:rsidP="00F574F2">
      <w:pPr>
        <w:rPr>
          <w:rFonts w:asciiTheme="minorHAnsi" w:hAnsiTheme="minorHAnsi"/>
        </w:rPr>
      </w:pPr>
      <w:r>
        <w:rPr>
          <w:rFonts w:asciiTheme="minorHAnsi" w:hAnsiTheme="minorHAnsi"/>
        </w:rPr>
        <w:t xml:space="preserve">See </w:t>
      </w:r>
      <w:hyperlink w:anchor="_Section_2.3.3_Clinical" w:history="1">
        <w:r w:rsidRPr="006379ED">
          <w:rPr>
            <w:rStyle w:val="Hyperlink"/>
            <w:rFonts w:asciiTheme="minorHAnsi" w:hAnsiTheme="minorHAnsi"/>
          </w:rPr>
          <w:t>Section 2.</w:t>
        </w:r>
        <w:r>
          <w:rPr>
            <w:rStyle w:val="Hyperlink"/>
            <w:rFonts w:asciiTheme="minorHAnsi" w:hAnsiTheme="minorHAnsi"/>
          </w:rPr>
          <w:t>4</w:t>
        </w:r>
      </w:hyperlink>
      <w:r>
        <w:rPr>
          <w:rFonts w:asciiTheme="minorHAnsi" w:hAnsiTheme="minorHAnsi"/>
        </w:rPr>
        <w:t xml:space="preserve"> for additional information for clinical monitoring required for prolonged courses of aminoglycoside therapy.</w:t>
      </w:r>
    </w:p>
    <w:p w14:paraId="34C17958" w14:textId="77777777" w:rsidR="007C6707" w:rsidRDefault="007C6707" w:rsidP="00DC660A">
      <w:pPr>
        <w:rPr>
          <w:rFonts w:asciiTheme="minorHAnsi" w:hAnsiTheme="minorHAnsi"/>
        </w:rPr>
      </w:pPr>
    </w:p>
    <w:p w14:paraId="5B978246" w14:textId="373F7613" w:rsidR="001F22C7" w:rsidRPr="00063E8C" w:rsidRDefault="001F22C7" w:rsidP="007C6707">
      <w:pPr>
        <w:pStyle w:val="Heading2"/>
        <w:rPr>
          <w:rFonts w:asciiTheme="minorHAnsi" w:hAnsiTheme="minorHAnsi"/>
        </w:rPr>
      </w:pPr>
      <w:bookmarkStart w:id="31" w:name="_Section_2.3.3_Clinical"/>
      <w:bookmarkStart w:id="32" w:name="_Section_2.4._Clinical"/>
      <w:bookmarkStart w:id="33" w:name="_Toc38371911"/>
      <w:bookmarkEnd w:id="31"/>
      <w:bookmarkEnd w:id="32"/>
      <w:r w:rsidRPr="001F22C7">
        <w:rPr>
          <w:rFonts w:eastAsia="Calibri"/>
        </w:rPr>
        <w:t>Section 2.</w:t>
      </w:r>
      <w:r w:rsidR="00063E8C">
        <w:rPr>
          <w:rFonts w:eastAsia="Calibri"/>
        </w:rPr>
        <w:t>4</w:t>
      </w:r>
      <w:r w:rsidRPr="001F22C7">
        <w:rPr>
          <w:rFonts w:eastAsia="Calibri"/>
        </w:rPr>
        <w:t xml:space="preserve">. </w:t>
      </w:r>
      <w:r w:rsidRPr="001F22C7">
        <w:t xml:space="preserve">Clinical </w:t>
      </w:r>
      <w:r w:rsidR="00063E8C">
        <w:t>monitoring requirements</w:t>
      </w:r>
      <w:bookmarkEnd w:id="33"/>
    </w:p>
    <w:p w14:paraId="2079ACA1" w14:textId="67866A36" w:rsidR="001F22C7" w:rsidRDefault="00063E8C" w:rsidP="001F22C7">
      <w:pPr>
        <w:rPr>
          <w:rFonts w:asciiTheme="minorHAnsi" w:hAnsiTheme="minorHAnsi"/>
          <w:szCs w:val="24"/>
        </w:rPr>
      </w:pPr>
      <w:r>
        <w:rPr>
          <w:rFonts w:asciiTheme="minorHAnsi" w:hAnsiTheme="minorHAnsi"/>
          <w:szCs w:val="24"/>
        </w:rPr>
        <w:t>Additional clinical patient monitoring should occur in addition to Therapeutic Drug Monitoring</w:t>
      </w:r>
      <w:r w:rsidR="002C7B2B">
        <w:rPr>
          <w:rFonts w:asciiTheme="minorHAnsi" w:hAnsiTheme="minorHAnsi"/>
          <w:szCs w:val="24"/>
        </w:rPr>
        <w:t xml:space="preserve">. For more in depth information, refer to </w:t>
      </w:r>
      <w:hyperlink r:id="rId14" w:anchor="toc_d1e1628" w:history="1">
        <w:r w:rsidR="002C7B2B" w:rsidRPr="002C7B2B">
          <w:rPr>
            <w:rStyle w:val="Hyperlink"/>
            <w:rFonts w:asciiTheme="minorHAnsi" w:hAnsiTheme="minorHAnsi"/>
            <w:szCs w:val="24"/>
          </w:rPr>
          <w:t>Therapeutic Guidelines: Antibiotic</w:t>
        </w:r>
      </w:hyperlink>
      <w:r w:rsidR="002C7B2B">
        <w:rPr>
          <w:rFonts w:asciiTheme="minorHAnsi" w:hAnsiTheme="minorHAnsi"/>
          <w:szCs w:val="24"/>
        </w:rPr>
        <w:t xml:space="preserve">.  </w:t>
      </w:r>
    </w:p>
    <w:p w14:paraId="134831AC" w14:textId="77777777" w:rsidR="00063E8C" w:rsidRDefault="00063E8C" w:rsidP="001F22C7">
      <w:pPr>
        <w:rPr>
          <w:rFonts w:asciiTheme="minorHAnsi" w:hAnsiTheme="minorHAnsi"/>
          <w:szCs w:val="24"/>
        </w:rPr>
      </w:pPr>
    </w:p>
    <w:p w14:paraId="11419D64" w14:textId="77777777" w:rsidR="002C7B2B" w:rsidRDefault="00063E8C" w:rsidP="002C7B2B">
      <w:pPr>
        <w:rPr>
          <w:rFonts w:asciiTheme="minorHAnsi" w:hAnsiTheme="minorHAnsi"/>
          <w:szCs w:val="24"/>
        </w:rPr>
      </w:pPr>
      <w:r w:rsidRPr="002C7B2B">
        <w:rPr>
          <w:rFonts w:asciiTheme="minorHAnsi" w:hAnsiTheme="minorHAnsi"/>
          <w:b/>
          <w:szCs w:val="24"/>
        </w:rPr>
        <w:t xml:space="preserve">Monitoring </w:t>
      </w:r>
      <w:r w:rsidR="002C7B2B" w:rsidRPr="002C7B2B">
        <w:rPr>
          <w:rFonts w:asciiTheme="minorHAnsi" w:hAnsiTheme="minorHAnsi"/>
          <w:b/>
          <w:szCs w:val="24"/>
        </w:rPr>
        <w:t>for nephrotoxicity</w:t>
      </w:r>
      <w:r w:rsidR="002C7B2B">
        <w:rPr>
          <w:rFonts w:asciiTheme="minorHAnsi" w:hAnsiTheme="minorHAnsi"/>
          <w:szCs w:val="24"/>
        </w:rPr>
        <w:t xml:space="preserve">: </w:t>
      </w:r>
    </w:p>
    <w:p w14:paraId="4E034A4D" w14:textId="23BE65A5" w:rsidR="00063E8C" w:rsidRDefault="002C7B2B" w:rsidP="005A2A5C">
      <w:pPr>
        <w:pStyle w:val="ListParagraph"/>
        <w:numPr>
          <w:ilvl w:val="0"/>
          <w:numId w:val="19"/>
        </w:numPr>
        <w:rPr>
          <w:rFonts w:asciiTheme="minorHAnsi" w:hAnsiTheme="minorHAnsi"/>
          <w:szCs w:val="24"/>
        </w:rPr>
      </w:pPr>
      <w:r w:rsidRPr="002C7B2B">
        <w:rPr>
          <w:rFonts w:asciiTheme="minorHAnsi" w:hAnsiTheme="minorHAnsi"/>
          <w:szCs w:val="24"/>
        </w:rPr>
        <w:t>EUCs at baseline and</w:t>
      </w:r>
      <w:r w:rsidR="00497DF9">
        <w:rPr>
          <w:rFonts w:asciiTheme="minorHAnsi" w:hAnsiTheme="minorHAnsi"/>
          <w:szCs w:val="24"/>
        </w:rPr>
        <w:t xml:space="preserve"> then at least 2 to 3 times a week, increasing the </w:t>
      </w:r>
      <w:r w:rsidRPr="002C7B2B">
        <w:rPr>
          <w:rFonts w:asciiTheme="minorHAnsi" w:hAnsiTheme="minorHAnsi"/>
          <w:szCs w:val="24"/>
        </w:rPr>
        <w:t xml:space="preserve">frequency of monitoring if renal function </w:t>
      </w:r>
      <w:r w:rsidR="00497DF9">
        <w:rPr>
          <w:rFonts w:asciiTheme="minorHAnsi" w:hAnsiTheme="minorHAnsi"/>
          <w:szCs w:val="24"/>
        </w:rPr>
        <w:t xml:space="preserve">is </w:t>
      </w:r>
      <w:r w:rsidRPr="002C7B2B">
        <w:rPr>
          <w:rFonts w:asciiTheme="minorHAnsi" w:hAnsiTheme="minorHAnsi"/>
          <w:szCs w:val="24"/>
        </w:rPr>
        <w:t>unstable</w:t>
      </w:r>
    </w:p>
    <w:p w14:paraId="7A3C29B2" w14:textId="6B78A468" w:rsidR="002C7B2B" w:rsidRDefault="00497DF9" w:rsidP="005A2A5C">
      <w:pPr>
        <w:pStyle w:val="ListParagraph"/>
        <w:numPr>
          <w:ilvl w:val="0"/>
          <w:numId w:val="19"/>
        </w:numPr>
        <w:rPr>
          <w:rFonts w:asciiTheme="minorHAnsi" w:hAnsiTheme="minorHAnsi"/>
          <w:szCs w:val="24"/>
        </w:rPr>
      </w:pPr>
      <w:r>
        <w:rPr>
          <w:rFonts w:asciiTheme="minorHAnsi" w:hAnsiTheme="minorHAnsi"/>
          <w:szCs w:val="24"/>
        </w:rPr>
        <w:t xml:space="preserve">Stop aminoglycoside therapy if </w:t>
      </w:r>
      <w:r w:rsidR="009812C3">
        <w:rPr>
          <w:rFonts w:asciiTheme="minorHAnsi" w:hAnsiTheme="minorHAnsi"/>
          <w:szCs w:val="24"/>
        </w:rPr>
        <w:t xml:space="preserve">there is a significant decrease in renal function (e.g. </w:t>
      </w:r>
      <w:r w:rsidR="002061C7">
        <w:rPr>
          <w:rFonts w:asciiTheme="minorHAnsi" w:hAnsiTheme="minorHAnsi"/>
          <w:szCs w:val="24"/>
        </w:rPr>
        <w:t xml:space="preserve">increase in serum creatinine by </w:t>
      </w:r>
      <w:r w:rsidR="00C663DD">
        <w:rPr>
          <w:rFonts w:asciiTheme="minorHAnsi" w:hAnsiTheme="minorHAnsi"/>
          <w:szCs w:val="24"/>
        </w:rPr>
        <w:t xml:space="preserve">≥30 </w:t>
      </w:r>
      <w:proofErr w:type="spellStart"/>
      <w:r w:rsidR="00C663DD">
        <w:rPr>
          <w:rFonts w:asciiTheme="minorHAnsi" w:hAnsiTheme="minorHAnsi"/>
          <w:szCs w:val="24"/>
        </w:rPr>
        <w:t>micromol</w:t>
      </w:r>
      <w:proofErr w:type="spellEnd"/>
      <w:r w:rsidR="00C663DD">
        <w:rPr>
          <w:rFonts w:asciiTheme="minorHAnsi" w:hAnsiTheme="minorHAnsi"/>
          <w:szCs w:val="24"/>
        </w:rPr>
        <w:t xml:space="preserve">/L or ≥1.5 times the baseline) </w:t>
      </w:r>
    </w:p>
    <w:p w14:paraId="3C58148A" w14:textId="46656348" w:rsidR="007F329C" w:rsidRDefault="007F329C" w:rsidP="005A2A5C">
      <w:pPr>
        <w:pStyle w:val="ListParagraph"/>
        <w:numPr>
          <w:ilvl w:val="0"/>
          <w:numId w:val="19"/>
        </w:numPr>
        <w:rPr>
          <w:rFonts w:asciiTheme="minorHAnsi" w:hAnsiTheme="minorHAnsi"/>
          <w:szCs w:val="24"/>
        </w:rPr>
      </w:pPr>
      <w:r>
        <w:rPr>
          <w:rFonts w:asciiTheme="minorHAnsi" w:hAnsiTheme="minorHAnsi"/>
          <w:szCs w:val="24"/>
        </w:rPr>
        <w:t>Monitor serial calculated dose requirements from pathology or pharmacy and consider the possibility of an acute kidney injury if dose requirements are consistently decreasing</w:t>
      </w:r>
    </w:p>
    <w:p w14:paraId="0E480A38" w14:textId="7CBCB120" w:rsidR="00C663DD" w:rsidRPr="002C7B2B" w:rsidRDefault="00C663DD" w:rsidP="005A2A5C">
      <w:pPr>
        <w:pStyle w:val="ListParagraph"/>
        <w:numPr>
          <w:ilvl w:val="0"/>
          <w:numId w:val="19"/>
        </w:numPr>
        <w:rPr>
          <w:rFonts w:asciiTheme="minorHAnsi" w:hAnsiTheme="minorHAnsi"/>
          <w:szCs w:val="24"/>
        </w:rPr>
      </w:pPr>
      <w:r>
        <w:rPr>
          <w:rFonts w:asciiTheme="minorHAnsi" w:hAnsiTheme="minorHAnsi"/>
          <w:szCs w:val="24"/>
        </w:rPr>
        <w:t>If further antibiotic therapy required seek expert advice</w:t>
      </w:r>
    </w:p>
    <w:p w14:paraId="587E7052" w14:textId="77777777" w:rsidR="002C7B2B" w:rsidRDefault="002C7B2B" w:rsidP="002C7B2B">
      <w:pPr>
        <w:rPr>
          <w:rFonts w:asciiTheme="minorHAnsi" w:hAnsiTheme="minorHAnsi"/>
          <w:szCs w:val="24"/>
        </w:rPr>
      </w:pPr>
    </w:p>
    <w:p w14:paraId="05A7F127" w14:textId="54A953AC" w:rsidR="002C7B2B" w:rsidRDefault="002C7B2B" w:rsidP="002C7B2B">
      <w:pPr>
        <w:rPr>
          <w:rFonts w:asciiTheme="minorHAnsi" w:hAnsiTheme="minorHAnsi"/>
          <w:szCs w:val="24"/>
        </w:rPr>
      </w:pPr>
      <w:r w:rsidRPr="002C7B2B">
        <w:rPr>
          <w:rFonts w:asciiTheme="minorHAnsi" w:hAnsiTheme="minorHAnsi"/>
          <w:b/>
          <w:szCs w:val="24"/>
        </w:rPr>
        <w:t>Monitoring for vestibular and auditory toxicity</w:t>
      </w:r>
      <w:r>
        <w:rPr>
          <w:rFonts w:asciiTheme="minorHAnsi" w:hAnsiTheme="minorHAnsi"/>
          <w:szCs w:val="24"/>
        </w:rPr>
        <w:t>:</w:t>
      </w:r>
    </w:p>
    <w:p w14:paraId="1CF095A3" w14:textId="2AC585DE" w:rsidR="002C7B2B" w:rsidRDefault="002C7B2B" w:rsidP="005A2A5C">
      <w:pPr>
        <w:pStyle w:val="ListParagraph"/>
        <w:numPr>
          <w:ilvl w:val="0"/>
          <w:numId w:val="18"/>
        </w:numPr>
        <w:rPr>
          <w:rFonts w:asciiTheme="minorHAnsi" w:hAnsiTheme="minorHAnsi"/>
          <w:szCs w:val="24"/>
        </w:rPr>
      </w:pPr>
      <w:r>
        <w:rPr>
          <w:rFonts w:asciiTheme="minorHAnsi" w:hAnsiTheme="minorHAnsi"/>
          <w:szCs w:val="24"/>
        </w:rPr>
        <w:t>All patients should be informed, if possible, of the potential for vestibular and auditory toxicity</w:t>
      </w:r>
    </w:p>
    <w:p w14:paraId="68589E80" w14:textId="161E7EF0" w:rsidR="002C7B2B" w:rsidRDefault="002C7B2B" w:rsidP="005A2A5C">
      <w:pPr>
        <w:pStyle w:val="ListParagraph"/>
        <w:numPr>
          <w:ilvl w:val="0"/>
          <w:numId w:val="18"/>
        </w:numPr>
        <w:rPr>
          <w:rFonts w:asciiTheme="minorHAnsi" w:hAnsiTheme="minorHAnsi"/>
          <w:szCs w:val="24"/>
        </w:rPr>
      </w:pPr>
      <w:r>
        <w:rPr>
          <w:rFonts w:asciiTheme="minorHAnsi" w:hAnsiTheme="minorHAnsi"/>
          <w:szCs w:val="24"/>
        </w:rPr>
        <w:lastRenderedPageBreak/>
        <w:t xml:space="preserve">Instruct patients to report any balance or hearing problems and ask patients receiving aminoglycosides on each clinical review about whether they are experiencing gait ataxia, imbalance, blurred vision during head </w:t>
      </w:r>
      <w:r w:rsidR="00497DF9">
        <w:rPr>
          <w:rFonts w:asciiTheme="minorHAnsi" w:hAnsiTheme="minorHAnsi"/>
          <w:szCs w:val="24"/>
        </w:rPr>
        <w:t>movement, sensation of bouncing vision, or hearing loss</w:t>
      </w:r>
    </w:p>
    <w:p w14:paraId="6D1CBEDB" w14:textId="6FF89293" w:rsidR="002C7B2B" w:rsidRPr="007C6707" w:rsidRDefault="00497DF9" w:rsidP="005A2A5C">
      <w:pPr>
        <w:pStyle w:val="ListParagraph"/>
        <w:numPr>
          <w:ilvl w:val="0"/>
          <w:numId w:val="27"/>
        </w:numPr>
        <w:rPr>
          <w:rFonts w:asciiTheme="minorHAnsi" w:hAnsiTheme="minorHAnsi"/>
          <w:szCs w:val="24"/>
        </w:rPr>
      </w:pPr>
      <w:r w:rsidRPr="007C6707">
        <w:rPr>
          <w:rFonts w:asciiTheme="minorHAnsi" w:hAnsiTheme="minorHAnsi"/>
          <w:szCs w:val="24"/>
        </w:rPr>
        <w:t>S</w:t>
      </w:r>
      <w:r w:rsidR="002C7B2B" w:rsidRPr="007C6707">
        <w:rPr>
          <w:rFonts w:asciiTheme="minorHAnsi" w:hAnsiTheme="minorHAnsi"/>
          <w:szCs w:val="24"/>
        </w:rPr>
        <w:t>pontaneous vertigo is not a feature of vestibular toxicity</w:t>
      </w:r>
    </w:p>
    <w:p w14:paraId="73878CF1" w14:textId="750448A7" w:rsidR="00F7058E" w:rsidRDefault="002C7B2B" w:rsidP="005A2A5C">
      <w:pPr>
        <w:pStyle w:val="ListParagraph"/>
        <w:numPr>
          <w:ilvl w:val="0"/>
          <w:numId w:val="18"/>
        </w:numPr>
        <w:rPr>
          <w:rFonts w:asciiTheme="minorHAnsi" w:hAnsiTheme="minorHAnsi"/>
          <w:szCs w:val="24"/>
        </w:rPr>
      </w:pPr>
      <w:r>
        <w:rPr>
          <w:rFonts w:asciiTheme="minorHAnsi" w:hAnsiTheme="minorHAnsi"/>
          <w:szCs w:val="24"/>
        </w:rPr>
        <w:t>For prolonged courses of aminoglycoside therapy (&gt;5 days) formal vestibular and audiometry testing should be performed</w:t>
      </w:r>
      <w:r w:rsidR="00F7058E">
        <w:rPr>
          <w:rFonts w:asciiTheme="minorHAnsi" w:hAnsiTheme="minorHAnsi"/>
          <w:szCs w:val="24"/>
        </w:rPr>
        <w:t>, if available</w:t>
      </w:r>
      <w:r>
        <w:rPr>
          <w:rFonts w:asciiTheme="minorHAnsi" w:hAnsiTheme="minorHAnsi"/>
          <w:szCs w:val="24"/>
        </w:rPr>
        <w:t xml:space="preserve"> – contact </w:t>
      </w:r>
      <w:r w:rsidR="00497DF9">
        <w:rPr>
          <w:rFonts w:asciiTheme="minorHAnsi" w:hAnsiTheme="minorHAnsi"/>
          <w:szCs w:val="24"/>
        </w:rPr>
        <w:t xml:space="preserve">ext. </w:t>
      </w:r>
      <w:r w:rsidR="00F7058E">
        <w:rPr>
          <w:rFonts w:asciiTheme="minorHAnsi" w:hAnsiTheme="minorHAnsi"/>
          <w:szCs w:val="24"/>
        </w:rPr>
        <w:t>45261 to speak with the audiologist on duty</w:t>
      </w:r>
      <w:r w:rsidR="009812C3">
        <w:rPr>
          <w:rFonts w:asciiTheme="minorHAnsi" w:hAnsiTheme="minorHAnsi"/>
          <w:szCs w:val="24"/>
        </w:rPr>
        <w:t xml:space="preserve"> for further advice</w:t>
      </w:r>
    </w:p>
    <w:p w14:paraId="229016A8" w14:textId="77777777" w:rsidR="00F7058E" w:rsidRDefault="00F7058E" w:rsidP="005A2A5C">
      <w:pPr>
        <w:pStyle w:val="ListParagraph"/>
        <w:numPr>
          <w:ilvl w:val="0"/>
          <w:numId w:val="27"/>
        </w:numPr>
        <w:rPr>
          <w:rFonts w:asciiTheme="minorHAnsi" w:hAnsiTheme="minorHAnsi"/>
          <w:szCs w:val="24"/>
        </w:rPr>
      </w:pPr>
      <w:r>
        <w:rPr>
          <w:rFonts w:asciiTheme="minorHAnsi" w:hAnsiTheme="minorHAnsi"/>
          <w:szCs w:val="24"/>
        </w:rPr>
        <w:t xml:space="preserve">Perform baseline testing and then repeat periodically (e.g. weekly) </w:t>
      </w:r>
    </w:p>
    <w:p w14:paraId="6ED385E5" w14:textId="3089DA55" w:rsidR="00F7058E" w:rsidRPr="00F7058E" w:rsidRDefault="00F7058E" w:rsidP="005A2A5C">
      <w:pPr>
        <w:pStyle w:val="ListParagraph"/>
        <w:numPr>
          <w:ilvl w:val="0"/>
          <w:numId w:val="27"/>
        </w:numPr>
        <w:rPr>
          <w:rFonts w:asciiTheme="minorHAnsi" w:hAnsiTheme="minorHAnsi"/>
          <w:szCs w:val="24"/>
        </w:rPr>
      </w:pPr>
      <w:r w:rsidRPr="00F7058E">
        <w:rPr>
          <w:rFonts w:asciiTheme="minorHAnsi" w:hAnsiTheme="minorHAnsi"/>
          <w:szCs w:val="24"/>
        </w:rPr>
        <w:t>If vestibular or auditory toxicity is noted, stop the aminoglycoside and seek expert advice if ongoing antibiotic therapy is required</w:t>
      </w:r>
    </w:p>
    <w:p w14:paraId="27127281" w14:textId="42237A3D" w:rsidR="002C7B2B" w:rsidRDefault="00F7058E" w:rsidP="005A2A5C">
      <w:pPr>
        <w:pStyle w:val="ListParagraph"/>
        <w:numPr>
          <w:ilvl w:val="0"/>
          <w:numId w:val="27"/>
        </w:numPr>
        <w:rPr>
          <w:rFonts w:asciiTheme="minorHAnsi" w:hAnsiTheme="minorHAnsi"/>
          <w:szCs w:val="24"/>
        </w:rPr>
      </w:pPr>
      <w:r>
        <w:rPr>
          <w:rFonts w:asciiTheme="minorHAnsi" w:hAnsiTheme="minorHAnsi"/>
          <w:szCs w:val="24"/>
        </w:rPr>
        <w:t>The audiology service is available on Monday and Tuesdays only</w:t>
      </w:r>
    </w:p>
    <w:p w14:paraId="3B82C49D" w14:textId="77777777" w:rsidR="001F22C7" w:rsidRDefault="001F22C7" w:rsidP="001F22C7">
      <w:pPr>
        <w:pStyle w:val="NoSpacing"/>
        <w:rPr>
          <w:rFonts w:asciiTheme="minorHAnsi" w:hAnsiTheme="minorHAnsi"/>
          <w:sz w:val="24"/>
          <w:szCs w:val="24"/>
        </w:rPr>
      </w:pPr>
    </w:p>
    <w:p w14:paraId="04E73AA4" w14:textId="1E62F242" w:rsidR="005A2A5C" w:rsidRPr="00DB410F" w:rsidRDefault="00CE5172" w:rsidP="00DB410F">
      <w:pPr>
        <w:jc w:val="right"/>
        <w:rPr>
          <w:rFonts w:asciiTheme="minorHAnsi" w:hAnsiTheme="minorHAnsi"/>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01C5B" w:rsidRPr="001B2BAC" w14:paraId="22A36238" w14:textId="77777777" w:rsidTr="007C6707">
        <w:trPr>
          <w:cantSplit/>
          <w:trHeight w:val="285"/>
        </w:trPr>
        <w:tc>
          <w:tcPr>
            <w:tcW w:w="9158" w:type="dxa"/>
            <w:shd w:val="clear" w:color="auto" w:fill="CCCCCC"/>
          </w:tcPr>
          <w:p w14:paraId="13B50592" w14:textId="72A02639" w:rsidR="00601C5B" w:rsidRPr="006379ED" w:rsidRDefault="00297D70" w:rsidP="007C6707">
            <w:pPr>
              <w:pStyle w:val="Heading1"/>
              <w:framePr w:hSpace="0" w:wrap="auto" w:vAnchor="margin" w:hAnchor="text" w:xAlign="left" w:yAlign="inline"/>
            </w:pPr>
            <w:bookmarkStart w:id="34" w:name="_Toc38371912"/>
            <w:r w:rsidRPr="006379ED">
              <w:t xml:space="preserve">Section 3: </w:t>
            </w:r>
            <w:r w:rsidR="00601C5B" w:rsidRPr="006379ED">
              <w:t>Drug Administration</w:t>
            </w:r>
            <w:bookmarkEnd w:id="34"/>
          </w:p>
        </w:tc>
      </w:tr>
    </w:tbl>
    <w:p w14:paraId="30D58808" w14:textId="77777777" w:rsidR="00DC6C5C" w:rsidRDefault="00DC6C5C" w:rsidP="00DC6C5C">
      <w:pPr>
        <w:rPr>
          <w:rFonts w:asciiTheme="minorHAnsi" w:hAnsiTheme="minorHAnsi" w:cstheme="minorHAnsi"/>
          <w:szCs w:val="24"/>
        </w:rPr>
      </w:pPr>
    </w:p>
    <w:p w14:paraId="30FEDEF4" w14:textId="356F2161" w:rsidR="00B738A0" w:rsidRDefault="00B738A0" w:rsidP="00DC6C5C">
      <w:pPr>
        <w:rPr>
          <w:rFonts w:asciiTheme="minorHAnsi" w:hAnsiTheme="minorHAnsi" w:cstheme="minorHAnsi"/>
          <w:szCs w:val="24"/>
        </w:rPr>
      </w:pPr>
      <w:r>
        <w:rPr>
          <w:rFonts w:asciiTheme="minorHAnsi" w:hAnsiTheme="minorHAnsi" w:cstheme="minorHAnsi"/>
          <w:szCs w:val="24"/>
        </w:rPr>
        <w:t xml:space="preserve">The preferred method of administration for aminoglycosides is as an infusion over 30 minutes, as this is factored into the methods used to calculate AUC when monitoring drug concentrations. Administration as a </w:t>
      </w:r>
      <w:r w:rsidR="00FE7F55">
        <w:rPr>
          <w:rFonts w:asciiTheme="minorHAnsi" w:hAnsiTheme="minorHAnsi" w:cstheme="minorHAnsi"/>
          <w:szCs w:val="24"/>
        </w:rPr>
        <w:t xml:space="preserve">slow bolus injection </w:t>
      </w:r>
      <w:r>
        <w:rPr>
          <w:rFonts w:asciiTheme="minorHAnsi" w:hAnsiTheme="minorHAnsi" w:cstheme="minorHAnsi"/>
          <w:szCs w:val="24"/>
        </w:rPr>
        <w:t>is appropriate in certain circumstances</w:t>
      </w:r>
      <w:r w:rsidR="00FE7F55">
        <w:rPr>
          <w:rFonts w:asciiTheme="minorHAnsi" w:hAnsiTheme="minorHAnsi" w:cstheme="minorHAnsi"/>
          <w:szCs w:val="24"/>
        </w:rPr>
        <w:t xml:space="preserve"> and will yield a higher peak concentration.</w:t>
      </w:r>
      <w:r>
        <w:rPr>
          <w:rFonts w:asciiTheme="minorHAnsi" w:hAnsiTheme="minorHAnsi" w:cstheme="minorHAnsi"/>
          <w:szCs w:val="24"/>
        </w:rPr>
        <w:t xml:space="preserve"> </w:t>
      </w:r>
      <w:r w:rsidR="00FE7F55">
        <w:rPr>
          <w:rFonts w:asciiTheme="minorHAnsi" w:hAnsiTheme="minorHAnsi" w:cstheme="minorHAnsi"/>
          <w:szCs w:val="24"/>
        </w:rPr>
        <w:t>If this is done, t</w:t>
      </w:r>
      <w:r>
        <w:rPr>
          <w:rFonts w:asciiTheme="minorHAnsi" w:hAnsiTheme="minorHAnsi" w:cstheme="minorHAnsi"/>
          <w:szCs w:val="24"/>
        </w:rPr>
        <w:t>he pharmacist should be alerted if TDM is being performed as this may affect the interpretation of drug concentrations.</w:t>
      </w:r>
      <w:r w:rsidR="004A636C">
        <w:rPr>
          <w:rFonts w:asciiTheme="minorHAnsi" w:hAnsiTheme="minorHAnsi" w:cstheme="minorHAnsi"/>
          <w:szCs w:val="24"/>
        </w:rPr>
        <w:t xml:space="preserve"> A summary of guidance is provided in Table 7.</w:t>
      </w:r>
    </w:p>
    <w:p w14:paraId="14C5BC63" w14:textId="77777777" w:rsidR="00B738A0" w:rsidRDefault="00B738A0" w:rsidP="00DC6C5C">
      <w:pPr>
        <w:rPr>
          <w:rFonts w:asciiTheme="minorHAnsi" w:hAnsiTheme="minorHAnsi" w:cstheme="minorHAnsi"/>
          <w:szCs w:val="24"/>
        </w:rPr>
      </w:pPr>
    </w:p>
    <w:p w14:paraId="46B9E7A5" w14:textId="2B13E619" w:rsidR="00B738A0" w:rsidRDefault="00B738A0" w:rsidP="00DC6C5C">
      <w:pPr>
        <w:rPr>
          <w:rFonts w:asciiTheme="minorHAnsi" w:hAnsiTheme="minorHAnsi" w:cstheme="minorHAnsi"/>
          <w:szCs w:val="24"/>
        </w:rPr>
      </w:pPr>
      <w:r>
        <w:rPr>
          <w:rFonts w:asciiTheme="minorHAnsi" w:hAnsiTheme="minorHAnsi" w:cstheme="minorHAnsi"/>
          <w:szCs w:val="24"/>
        </w:rPr>
        <w:t xml:space="preserve">Table </w:t>
      </w:r>
      <w:r w:rsidR="004A636C">
        <w:rPr>
          <w:rFonts w:asciiTheme="minorHAnsi" w:hAnsiTheme="minorHAnsi" w:cstheme="minorHAnsi"/>
          <w:szCs w:val="24"/>
        </w:rPr>
        <w:t>7</w:t>
      </w:r>
      <w:r>
        <w:rPr>
          <w:rFonts w:asciiTheme="minorHAnsi" w:hAnsiTheme="minorHAnsi" w:cstheme="minorHAnsi"/>
          <w:szCs w:val="24"/>
        </w:rPr>
        <w:t>: Recommendations for administration of aminoglycosides</w:t>
      </w:r>
    </w:p>
    <w:tbl>
      <w:tblPr>
        <w:tblStyle w:val="TableGrid"/>
        <w:tblW w:w="0" w:type="auto"/>
        <w:tblLook w:val="04A0" w:firstRow="1" w:lastRow="0" w:firstColumn="1" w:lastColumn="0" w:noHBand="0" w:noVBand="1"/>
      </w:tblPr>
      <w:tblGrid>
        <w:gridCol w:w="3020"/>
        <w:gridCol w:w="2787"/>
        <w:gridCol w:w="3253"/>
      </w:tblGrid>
      <w:tr w:rsidR="00B738A0" w14:paraId="791B0BB4" w14:textId="77777777" w:rsidTr="00B738A0">
        <w:tc>
          <w:tcPr>
            <w:tcW w:w="3020" w:type="dxa"/>
          </w:tcPr>
          <w:p w14:paraId="12E944AA" w14:textId="6C6A57DF" w:rsidR="00B738A0" w:rsidRPr="00B738A0" w:rsidRDefault="00B738A0" w:rsidP="00DC6C5C">
            <w:pPr>
              <w:rPr>
                <w:rFonts w:asciiTheme="minorHAnsi" w:hAnsiTheme="minorHAnsi" w:cstheme="minorHAnsi"/>
                <w:b/>
                <w:sz w:val="22"/>
                <w:szCs w:val="24"/>
              </w:rPr>
            </w:pPr>
            <w:r w:rsidRPr="00B738A0">
              <w:rPr>
                <w:rFonts w:asciiTheme="minorHAnsi" w:hAnsiTheme="minorHAnsi" w:cstheme="minorHAnsi"/>
                <w:b/>
                <w:sz w:val="22"/>
                <w:szCs w:val="24"/>
              </w:rPr>
              <w:t>Drug</w:t>
            </w:r>
          </w:p>
        </w:tc>
        <w:tc>
          <w:tcPr>
            <w:tcW w:w="2787" w:type="dxa"/>
          </w:tcPr>
          <w:p w14:paraId="19FBED13" w14:textId="2767846D" w:rsidR="00B738A0" w:rsidRPr="00B738A0" w:rsidRDefault="00B738A0" w:rsidP="00DC6C5C">
            <w:pPr>
              <w:rPr>
                <w:rFonts w:asciiTheme="minorHAnsi" w:hAnsiTheme="minorHAnsi" w:cstheme="minorHAnsi"/>
                <w:b/>
                <w:sz w:val="22"/>
                <w:szCs w:val="24"/>
              </w:rPr>
            </w:pPr>
            <w:r w:rsidRPr="00B738A0">
              <w:rPr>
                <w:rFonts w:asciiTheme="minorHAnsi" w:hAnsiTheme="minorHAnsi" w:cstheme="minorHAnsi"/>
                <w:b/>
                <w:sz w:val="22"/>
                <w:szCs w:val="24"/>
              </w:rPr>
              <w:t>Infusion</w:t>
            </w:r>
          </w:p>
        </w:tc>
        <w:tc>
          <w:tcPr>
            <w:tcW w:w="3253" w:type="dxa"/>
          </w:tcPr>
          <w:p w14:paraId="70C2B808" w14:textId="5C5E88B9" w:rsidR="00B738A0" w:rsidRPr="00B738A0" w:rsidRDefault="00B738A0" w:rsidP="00B738A0">
            <w:pPr>
              <w:rPr>
                <w:rFonts w:asciiTheme="minorHAnsi" w:hAnsiTheme="minorHAnsi" w:cstheme="minorHAnsi"/>
                <w:b/>
                <w:sz w:val="22"/>
                <w:szCs w:val="24"/>
              </w:rPr>
            </w:pPr>
            <w:r w:rsidRPr="00B738A0">
              <w:rPr>
                <w:rFonts w:asciiTheme="minorHAnsi" w:hAnsiTheme="minorHAnsi" w:cstheme="minorHAnsi"/>
                <w:b/>
                <w:sz w:val="22"/>
                <w:szCs w:val="24"/>
              </w:rPr>
              <w:t>Bolus</w:t>
            </w:r>
          </w:p>
        </w:tc>
      </w:tr>
      <w:tr w:rsidR="00B738A0" w14:paraId="18FA199B" w14:textId="77777777" w:rsidTr="00B738A0">
        <w:tc>
          <w:tcPr>
            <w:tcW w:w="3020" w:type="dxa"/>
          </w:tcPr>
          <w:p w14:paraId="1D9D01E3" w14:textId="66F15781" w:rsidR="00B738A0" w:rsidRPr="00B738A0" w:rsidRDefault="00B738A0" w:rsidP="00DC6C5C">
            <w:pPr>
              <w:rPr>
                <w:rFonts w:asciiTheme="minorHAnsi" w:hAnsiTheme="minorHAnsi" w:cstheme="minorHAnsi"/>
                <w:sz w:val="22"/>
                <w:szCs w:val="24"/>
              </w:rPr>
            </w:pPr>
            <w:r w:rsidRPr="00B738A0">
              <w:rPr>
                <w:rFonts w:asciiTheme="minorHAnsi" w:hAnsiTheme="minorHAnsi" w:cstheme="minorHAnsi"/>
                <w:sz w:val="22"/>
                <w:szCs w:val="24"/>
              </w:rPr>
              <w:t>Gentamicin/Tobramycin</w:t>
            </w:r>
          </w:p>
        </w:tc>
        <w:tc>
          <w:tcPr>
            <w:tcW w:w="2787" w:type="dxa"/>
          </w:tcPr>
          <w:p w14:paraId="2B5E20EE" w14:textId="7B36D3CC" w:rsidR="00B738A0" w:rsidRPr="00B738A0" w:rsidRDefault="00B738A0" w:rsidP="00DC6C5C">
            <w:pPr>
              <w:rPr>
                <w:rFonts w:asciiTheme="minorHAnsi" w:hAnsiTheme="minorHAnsi" w:cstheme="minorHAnsi"/>
                <w:sz w:val="22"/>
                <w:szCs w:val="24"/>
              </w:rPr>
            </w:pPr>
            <w:r w:rsidRPr="00B738A0">
              <w:rPr>
                <w:rFonts w:asciiTheme="minorHAnsi" w:hAnsiTheme="minorHAnsi" w:cstheme="minorHAnsi"/>
                <w:sz w:val="22"/>
                <w:szCs w:val="24"/>
              </w:rPr>
              <w:t>In 50mL sodium chloride 0.9% over 30 minutes</w:t>
            </w:r>
          </w:p>
        </w:tc>
        <w:tc>
          <w:tcPr>
            <w:tcW w:w="3253" w:type="dxa"/>
          </w:tcPr>
          <w:p w14:paraId="55221E88" w14:textId="17B90BD0" w:rsidR="00B738A0" w:rsidRPr="00B738A0" w:rsidRDefault="00B738A0" w:rsidP="00AE5284">
            <w:pPr>
              <w:rPr>
                <w:rFonts w:asciiTheme="minorHAnsi" w:hAnsiTheme="minorHAnsi" w:cstheme="minorHAnsi"/>
                <w:sz w:val="22"/>
                <w:szCs w:val="24"/>
              </w:rPr>
            </w:pPr>
            <w:r w:rsidRPr="00B738A0">
              <w:rPr>
                <w:rFonts w:asciiTheme="minorHAnsi" w:hAnsiTheme="minorHAnsi" w:cstheme="minorHAnsi"/>
                <w:sz w:val="22"/>
                <w:szCs w:val="24"/>
              </w:rPr>
              <w:t xml:space="preserve">Slow </w:t>
            </w:r>
            <w:r w:rsidR="00AE5284">
              <w:rPr>
                <w:rFonts w:asciiTheme="minorHAnsi" w:hAnsiTheme="minorHAnsi" w:cstheme="minorHAnsi"/>
                <w:sz w:val="22"/>
                <w:szCs w:val="24"/>
              </w:rPr>
              <w:t>injection</w:t>
            </w:r>
            <w:r w:rsidRPr="00B738A0">
              <w:rPr>
                <w:rFonts w:asciiTheme="minorHAnsi" w:hAnsiTheme="minorHAnsi" w:cstheme="minorHAnsi"/>
                <w:sz w:val="22"/>
                <w:szCs w:val="24"/>
              </w:rPr>
              <w:t xml:space="preserve"> over 3-5 minutes. </w:t>
            </w:r>
          </w:p>
        </w:tc>
      </w:tr>
      <w:tr w:rsidR="00B738A0" w14:paraId="3333FC7F" w14:textId="77777777" w:rsidTr="00B738A0">
        <w:tc>
          <w:tcPr>
            <w:tcW w:w="3020" w:type="dxa"/>
          </w:tcPr>
          <w:p w14:paraId="4DB50CC0" w14:textId="53B6D072" w:rsidR="00B738A0" w:rsidRPr="00B738A0" w:rsidRDefault="00B738A0" w:rsidP="00DC6C5C">
            <w:pPr>
              <w:rPr>
                <w:rFonts w:asciiTheme="minorHAnsi" w:hAnsiTheme="minorHAnsi" w:cstheme="minorHAnsi"/>
                <w:sz w:val="22"/>
                <w:szCs w:val="24"/>
              </w:rPr>
            </w:pPr>
            <w:r w:rsidRPr="00B738A0">
              <w:rPr>
                <w:rFonts w:asciiTheme="minorHAnsi" w:hAnsiTheme="minorHAnsi" w:cstheme="minorHAnsi"/>
                <w:sz w:val="22"/>
                <w:szCs w:val="24"/>
              </w:rPr>
              <w:t>Amikacin</w:t>
            </w:r>
          </w:p>
        </w:tc>
        <w:tc>
          <w:tcPr>
            <w:tcW w:w="2787" w:type="dxa"/>
          </w:tcPr>
          <w:p w14:paraId="35B6F97E" w14:textId="1E95FDD0" w:rsidR="00B738A0" w:rsidRPr="00B738A0" w:rsidRDefault="00B738A0" w:rsidP="00DC6C5C">
            <w:pPr>
              <w:rPr>
                <w:rFonts w:asciiTheme="minorHAnsi" w:hAnsiTheme="minorHAnsi" w:cstheme="minorHAnsi"/>
                <w:sz w:val="22"/>
                <w:szCs w:val="24"/>
              </w:rPr>
            </w:pPr>
            <w:r w:rsidRPr="00B738A0">
              <w:rPr>
                <w:rFonts w:asciiTheme="minorHAnsi" w:hAnsiTheme="minorHAnsi" w:cstheme="minorHAnsi"/>
                <w:sz w:val="22"/>
                <w:szCs w:val="24"/>
              </w:rPr>
              <w:t>In 100mL sodium chloride 0.9% over 30 minutes</w:t>
            </w:r>
            <w:r>
              <w:rPr>
                <w:rFonts w:asciiTheme="minorHAnsi" w:hAnsiTheme="minorHAnsi" w:cstheme="minorHAnsi"/>
                <w:sz w:val="22"/>
                <w:szCs w:val="24"/>
              </w:rPr>
              <w:br/>
            </w:r>
          </w:p>
        </w:tc>
        <w:tc>
          <w:tcPr>
            <w:tcW w:w="3253" w:type="dxa"/>
          </w:tcPr>
          <w:p w14:paraId="478E2526" w14:textId="7721560F" w:rsidR="00B738A0" w:rsidRPr="00B738A0" w:rsidRDefault="00B738A0" w:rsidP="00AE5284">
            <w:pPr>
              <w:rPr>
                <w:rFonts w:asciiTheme="minorHAnsi" w:hAnsiTheme="minorHAnsi" w:cstheme="minorHAnsi"/>
                <w:sz w:val="22"/>
                <w:szCs w:val="24"/>
              </w:rPr>
            </w:pPr>
            <w:r>
              <w:rPr>
                <w:rFonts w:asciiTheme="minorHAnsi" w:hAnsiTheme="minorHAnsi" w:cstheme="minorHAnsi"/>
                <w:sz w:val="22"/>
                <w:szCs w:val="24"/>
              </w:rPr>
              <w:t xml:space="preserve">Slow </w:t>
            </w:r>
            <w:r w:rsidR="00AE5284">
              <w:rPr>
                <w:rFonts w:asciiTheme="minorHAnsi" w:hAnsiTheme="minorHAnsi" w:cstheme="minorHAnsi"/>
                <w:sz w:val="22"/>
                <w:szCs w:val="24"/>
              </w:rPr>
              <w:t>injection</w:t>
            </w:r>
            <w:r>
              <w:rPr>
                <w:rFonts w:asciiTheme="minorHAnsi" w:hAnsiTheme="minorHAnsi" w:cstheme="minorHAnsi"/>
                <w:sz w:val="22"/>
                <w:szCs w:val="24"/>
              </w:rPr>
              <w:t xml:space="preserve"> over 3-5 minutes: o</w:t>
            </w:r>
            <w:r w:rsidRPr="00B738A0">
              <w:rPr>
                <w:rFonts w:asciiTheme="minorHAnsi" w:hAnsiTheme="minorHAnsi" w:cstheme="minorHAnsi"/>
                <w:sz w:val="22"/>
                <w:szCs w:val="24"/>
              </w:rPr>
              <w:t>nly recommended for doses under 500mg</w:t>
            </w:r>
          </w:p>
        </w:tc>
      </w:tr>
    </w:tbl>
    <w:p w14:paraId="029DBB83" w14:textId="3CBC0983" w:rsidR="00DC6C5C" w:rsidRDefault="00B738A0" w:rsidP="00DC6C5C">
      <w:pPr>
        <w:rPr>
          <w:rFonts w:asciiTheme="minorHAnsi" w:hAnsiTheme="minorHAnsi" w:cstheme="minorHAnsi"/>
          <w:szCs w:val="24"/>
        </w:rPr>
      </w:pPr>
      <w:r>
        <w:rPr>
          <w:rFonts w:asciiTheme="minorHAnsi" w:hAnsiTheme="minorHAnsi" w:cstheme="minorHAnsi"/>
          <w:szCs w:val="24"/>
        </w:rPr>
        <w:t xml:space="preserve"> </w:t>
      </w:r>
    </w:p>
    <w:p w14:paraId="02700008" w14:textId="432FCA76" w:rsidR="00DC6C5C" w:rsidRDefault="00910CE5" w:rsidP="00A71C2C">
      <w:pPr>
        <w:jc w:val="both"/>
        <w:rPr>
          <w:rFonts w:ascii="Calibri" w:hAnsi="Calibri" w:cs="Arial"/>
          <w:szCs w:val="24"/>
        </w:rPr>
      </w:pPr>
      <w:r>
        <w:rPr>
          <w:rFonts w:ascii="Calibri" w:hAnsi="Calibri" w:cs="Arial"/>
          <w:szCs w:val="24"/>
        </w:rPr>
        <w:t xml:space="preserve">For more </w:t>
      </w:r>
      <w:r w:rsidR="00A82FA8">
        <w:rPr>
          <w:rFonts w:ascii="Calibri" w:hAnsi="Calibri" w:cs="Arial"/>
          <w:szCs w:val="24"/>
        </w:rPr>
        <w:t>information</w:t>
      </w:r>
      <w:r>
        <w:rPr>
          <w:rFonts w:ascii="Calibri" w:hAnsi="Calibri" w:cs="Arial"/>
          <w:szCs w:val="24"/>
        </w:rPr>
        <w:t xml:space="preserve">, consult the latest edition of the </w:t>
      </w:r>
      <w:hyperlink r:id="rId15" w:history="1">
        <w:r w:rsidRPr="008741DB">
          <w:rPr>
            <w:rStyle w:val="Hyperlink"/>
            <w:rFonts w:ascii="Calibri" w:hAnsi="Calibri" w:cs="Arial"/>
            <w:szCs w:val="24"/>
          </w:rPr>
          <w:t>Australian Injectable Drugs Handbook</w:t>
        </w:r>
      </w:hyperlink>
      <w:r>
        <w:rPr>
          <w:rFonts w:ascii="Calibri" w:hAnsi="Calibri" w:cs="Arial"/>
          <w:szCs w:val="24"/>
        </w:rPr>
        <w:t xml:space="preserve"> via the </w:t>
      </w:r>
      <w:r w:rsidR="00327384">
        <w:rPr>
          <w:rFonts w:ascii="Calibri" w:hAnsi="Calibri" w:cs="Arial"/>
          <w:szCs w:val="24"/>
        </w:rPr>
        <w:t>CHS</w:t>
      </w:r>
      <w:r>
        <w:rPr>
          <w:rFonts w:ascii="Calibri" w:hAnsi="Calibri" w:cs="Arial"/>
          <w:szCs w:val="24"/>
        </w:rPr>
        <w:t xml:space="preserve"> Library website.</w:t>
      </w:r>
    </w:p>
    <w:p w14:paraId="58B9FB9D" w14:textId="77777777" w:rsidR="007C6707" w:rsidRDefault="007C6707" w:rsidP="00A71C2C">
      <w:pPr>
        <w:jc w:val="both"/>
        <w:rPr>
          <w:rFonts w:ascii="Calibri" w:hAnsi="Calibri" w:cs="Arial"/>
          <w:szCs w:val="24"/>
        </w:rPr>
      </w:pPr>
    </w:p>
    <w:p w14:paraId="0DA315C3" w14:textId="1CE00203" w:rsidR="00DC6C5C" w:rsidRPr="00032890" w:rsidRDefault="00CE5172" w:rsidP="007C6707">
      <w:pPr>
        <w:jc w:val="right"/>
        <w:rPr>
          <w:rFonts w:ascii="Calibri" w:hAnsi="Calibri" w:cs="Arial"/>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71C2C" w:rsidRPr="001B2BAC" w14:paraId="715A4D73" w14:textId="77777777" w:rsidTr="007C6707">
        <w:trPr>
          <w:cantSplit/>
          <w:trHeight w:val="285"/>
        </w:trPr>
        <w:tc>
          <w:tcPr>
            <w:tcW w:w="9158" w:type="dxa"/>
            <w:shd w:val="clear" w:color="auto" w:fill="CCCCCC"/>
          </w:tcPr>
          <w:p w14:paraId="56074E79" w14:textId="3E40F9E5" w:rsidR="00A71C2C" w:rsidRPr="001502DF" w:rsidRDefault="003F423C" w:rsidP="007C6707">
            <w:pPr>
              <w:pStyle w:val="Heading1"/>
              <w:framePr w:hSpace="0" w:wrap="auto" w:vAnchor="margin" w:hAnchor="text" w:xAlign="left" w:yAlign="inline"/>
            </w:pPr>
            <w:bookmarkStart w:id="35" w:name="_Toc38371913"/>
            <w:r>
              <w:t xml:space="preserve">Related Legislation, </w:t>
            </w:r>
            <w:r w:rsidR="00A71C2C">
              <w:t>Policies</w:t>
            </w:r>
            <w:r>
              <w:t xml:space="preserve"> and Standards</w:t>
            </w:r>
            <w:bookmarkEnd w:id="35"/>
          </w:p>
        </w:tc>
      </w:tr>
    </w:tbl>
    <w:p w14:paraId="305A1849" w14:textId="77777777" w:rsidR="00032890" w:rsidRDefault="00032890" w:rsidP="009B3385">
      <w:pPr>
        <w:rPr>
          <w:rFonts w:ascii="Calibri" w:hAnsi="Calibri" w:cs="Arial"/>
          <w:szCs w:val="24"/>
        </w:rPr>
      </w:pPr>
    </w:p>
    <w:p w14:paraId="3F40ABFB" w14:textId="2F12A2C3" w:rsidR="007C6707" w:rsidRPr="007C6707" w:rsidRDefault="007C6707" w:rsidP="009B3385">
      <w:pPr>
        <w:rPr>
          <w:rFonts w:ascii="Calibri" w:hAnsi="Calibri" w:cs="Arial"/>
          <w:b/>
          <w:szCs w:val="24"/>
        </w:rPr>
      </w:pPr>
      <w:r>
        <w:rPr>
          <w:rFonts w:ascii="Calibri" w:hAnsi="Calibri" w:cs="Arial"/>
          <w:b/>
          <w:szCs w:val="24"/>
        </w:rPr>
        <w:t>Policies</w:t>
      </w:r>
    </w:p>
    <w:p w14:paraId="0B626464" w14:textId="58D685F8" w:rsidR="00A71C2C" w:rsidRDefault="008741DB" w:rsidP="005A2A5C">
      <w:pPr>
        <w:pStyle w:val="ListParagraph"/>
        <w:numPr>
          <w:ilvl w:val="0"/>
          <w:numId w:val="15"/>
        </w:numPr>
        <w:jc w:val="both"/>
        <w:rPr>
          <w:rFonts w:ascii="Calibri" w:hAnsi="Calibri" w:cs="Arial"/>
          <w:szCs w:val="24"/>
        </w:rPr>
      </w:pPr>
      <w:r>
        <w:rPr>
          <w:rFonts w:ascii="Calibri" w:hAnsi="Calibri" w:cs="Arial"/>
          <w:szCs w:val="24"/>
        </w:rPr>
        <w:t>Medication Handling Policy</w:t>
      </w:r>
    </w:p>
    <w:p w14:paraId="78FADFDD" w14:textId="77777777" w:rsidR="007C6707" w:rsidRDefault="007C6707" w:rsidP="007C6707">
      <w:pPr>
        <w:jc w:val="both"/>
        <w:rPr>
          <w:rFonts w:ascii="Calibri" w:hAnsi="Calibri" w:cs="Arial"/>
          <w:szCs w:val="24"/>
        </w:rPr>
      </w:pPr>
    </w:p>
    <w:p w14:paraId="4ACC0232" w14:textId="0F7D0ABD" w:rsidR="007C6707" w:rsidRPr="007C6707" w:rsidRDefault="007C6707" w:rsidP="007C6707">
      <w:pPr>
        <w:jc w:val="both"/>
        <w:rPr>
          <w:rFonts w:ascii="Calibri" w:hAnsi="Calibri" w:cs="Arial"/>
          <w:b/>
          <w:szCs w:val="24"/>
        </w:rPr>
      </w:pPr>
      <w:r w:rsidRPr="007C6707">
        <w:rPr>
          <w:rFonts w:ascii="Calibri" w:hAnsi="Calibri" w:cs="Arial"/>
          <w:b/>
          <w:szCs w:val="24"/>
        </w:rPr>
        <w:t>Procedures</w:t>
      </w:r>
    </w:p>
    <w:p w14:paraId="15B8ED48" w14:textId="72D37569" w:rsidR="008741DB" w:rsidRPr="008741DB" w:rsidRDefault="008741DB" w:rsidP="005A2A5C">
      <w:pPr>
        <w:pStyle w:val="ListParagraph"/>
        <w:numPr>
          <w:ilvl w:val="0"/>
          <w:numId w:val="15"/>
        </w:numPr>
        <w:jc w:val="both"/>
        <w:rPr>
          <w:rFonts w:ascii="Calibri" w:hAnsi="Calibri" w:cs="Arial"/>
          <w:szCs w:val="24"/>
        </w:rPr>
      </w:pPr>
      <w:r>
        <w:rPr>
          <w:rFonts w:ascii="Calibri" w:hAnsi="Calibri" w:cs="Arial"/>
          <w:szCs w:val="24"/>
        </w:rPr>
        <w:t>Antimicrobial Stewardship Procedure</w:t>
      </w:r>
    </w:p>
    <w:p w14:paraId="58B208D3" w14:textId="77777777" w:rsidR="00A71C2C" w:rsidRDefault="00A71C2C" w:rsidP="00A71C2C">
      <w:pPr>
        <w:jc w:val="both"/>
        <w:rPr>
          <w:rFonts w:ascii="Calibri" w:hAnsi="Calibri" w:cs="Arial"/>
          <w:b/>
          <w:szCs w:val="24"/>
        </w:rPr>
      </w:pPr>
    </w:p>
    <w:p w14:paraId="046382E0" w14:textId="77777777" w:rsidR="007C6707" w:rsidRDefault="00CE5172" w:rsidP="007C6707">
      <w:pPr>
        <w:jc w:val="right"/>
        <w:rPr>
          <w:rFonts w:ascii="Calibri" w:hAnsi="Calibri" w:cs="Arial"/>
          <w:b/>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C6707" w:rsidRPr="001B2BAC" w14:paraId="3F0FCFCD" w14:textId="77777777" w:rsidTr="007C6707">
        <w:trPr>
          <w:cantSplit/>
          <w:trHeight w:val="285"/>
        </w:trPr>
        <w:tc>
          <w:tcPr>
            <w:tcW w:w="9158" w:type="dxa"/>
            <w:shd w:val="clear" w:color="auto" w:fill="CCCCCC"/>
          </w:tcPr>
          <w:p w14:paraId="78A0775B" w14:textId="77777777" w:rsidR="007C6707" w:rsidRPr="001502DF" w:rsidRDefault="007C6707" w:rsidP="007C6707">
            <w:pPr>
              <w:pStyle w:val="Heading1"/>
              <w:framePr w:hSpace="0" w:wrap="auto" w:vAnchor="margin" w:hAnchor="text" w:xAlign="left" w:yAlign="inline"/>
            </w:pPr>
            <w:bookmarkStart w:id="36" w:name="_Toc38371914"/>
            <w:r>
              <w:t>References</w:t>
            </w:r>
            <w:bookmarkEnd w:id="36"/>
          </w:p>
        </w:tc>
      </w:tr>
    </w:tbl>
    <w:p w14:paraId="5CA3BB1F" w14:textId="77777777" w:rsidR="007C6707" w:rsidRDefault="007C6707" w:rsidP="007C6707">
      <w:pPr>
        <w:jc w:val="both"/>
        <w:rPr>
          <w:rFonts w:ascii="Calibri" w:hAnsi="Calibri" w:cs="Arial"/>
          <w:b/>
          <w:szCs w:val="24"/>
        </w:rPr>
      </w:pPr>
    </w:p>
    <w:p w14:paraId="104E7153" w14:textId="77777777" w:rsidR="007C6707" w:rsidRPr="000179D1" w:rsidRDefault="007C6707" w:rsidP="005A2A5C">
      <w:pPr>
        <w:pStyle w:val="ListParagraph"/>
        <w:numPr>
          <w:ilvl w:val="0"/>
          <w:numId w:val="16"/>
        </w:numPr>
        <w:rPr>
          <w:rFonts w:ascii="Calibri" w:hAnsi="Calibri" w:cs="Arial"/>
          <w:szCs w:val="24"/>
        </w:rPr>
      </w:pPr>
      <w:r w:rsidRPr="000179D1">
        <w:rPr>
          <w:rFonts w:ascii="Calibri" w:hAnsi="Calibri" w:cs="Arial"/>
          <w:szCs w:val="24"/>
        </w:rPr>
        <w:t xml:space="preserve">Avent, M. et al. (2011). Current use of aminoglycosides: indications, pharmacokinetics and monitoring for toxicity. </w:t>
      </w:r>
      <w:r w:rsidRPr="000179D1">
        <w:rPr>
          <w:rFonts w:ascii="Calibri" w:hAnsi="Calibri" w:cs="Arial"/>
          <w:i/>
          <w:szCs w:val="24"/>
        </w:rPr>
        <w:t>Internal Medicine Journal</w:t>
      </w:r>
      <w:r w:rsidRPr="000179D1">
        <w:rPr>
          <w:rFonts w:ascii="Calibri" w:hAnsi="Calibri" w:cs="Arial"/>
          <w:szCs w:val="24"/>
        </w:rPr>
        <w:t>. 41:441-449.</w:t>
      </w:r>
    </w:p>
    <w:p w14:paraId="2C5E478F" w14:textId="77777777" w:rsidR="007C6707" w:rsidRPr="000179D1" w:rsidRDefault="007C6707" w:rsidP="005A2A5C">
      <w:pPr>
        <w:pStyle w:val="ListParagraph"/>
        <w:numPr>
          <w:ilvl w:val="0"/>
          <w:numId w:val="16"/>
        </w:numPr>
        <w:rPr>
          <w:rFonts w:ascii="Calibri" w:hAnsi="Calibri" w:cs="Arial"/>
          <w:szCs w:val="24"/>
        </w:rPr>
      </w:pPr>
      <w:r w:rsidRPr="000179D1">
        <w:rPr>
          <w:rFonts w:ascii="Calibri" w:hAnsi="Calibri" w:cs="Arial"/>
          <w:szCs w:val="24"/>
        </w:rPr>
        <w:t>Australian Medicines Handbook (2017)</w:t>
      </w:r>
    </w:p>
    <w:p w14:paraId="37EBFA96" w14:textId="77777777" w:rsidR="007C6707" w:rsidRPr="000179D1" w:rsidRDefault="007C6707" w:rsidP="005A2A5C">
      <w:pPr>
        <w:pStyle w:val="ListParagraph"/>
        <w:numPr>
          <w:ilvl w:val="0"/>
          <w:numId w:val="16"/>
        </w:numPr>
        <w:rPr>
          <w:rFonts w:ascii="Calibri" w:hAnsi="Calibri" w:cs="Arial"/>
          <w:szCs w:val="24"/>
        </w:rPr>
      </w:pPr>
      <w:r w:rsidRPr="000179D1">
        <w:rPr>
          <w:rFonts w:ascii="Calibri" w:hAnsi="Calibri" w:cs="Arial"/>
          <w:szCs w:val="24"/>
        </w:rPr>
        <w:t>Micromedex online (2017)</w:t>
      </w:r>
    </w:p>
    <w:p w14:paraId="72F92AD3" w14:textId="77777777" w:rsidR="007C6707" w:rsidRPr="000179D1" w:rsidRDefault="007C6707" w:rsidP="005A2A5C">
      <w:pPr>
        <w:pStyle w:val="ListParagraph"/>
        <w:numPr>
          <w:ilvl w:val="0"/>
          <w:numId w:val="16"/>
        </w:numPr>
        <w:rPr>
          <w:rFonts w:ascii="Calibri" w:hAnsi="Calibri" w:cs="Arial"/>
          <w:szCs w:val="24"/>
        </w:rPr>
      </w:pPr>
      <w:r>
        <w:rPr>
          <w:rFonts w:ascii="Calibri" w:hAnsi="Calibri" w:cs="Arial"/>
          <w:szCs w:val="24"/>
        </w:rPr>
        <w:t>MIMS</w:t>
      </w:r>
      <w:r w:rsidRPr="000179D1">
        <w:rPr>
          <w:rFonts w:ascii="Calibri" w:hAnsi="Calibri" w:cs="Arial"/>
          <w:szCs w:val="24"/>
        </w:rPr>
        <w:t xml:space="preserve"> online (2017) </w:t>
      </w:r>
    </w:p>
    <w:p w14:paraId="5BECD4CA" w14:textId="77777777" w:rsidR="007C6707" w:rsidRDefault="007C6707" w:rsidP="005A2A5C">
      <w:pPr>
        <w:pStyle w:val="ListParagraph"/>
        <w:numPr>
          <w:ilvl w:val="0"/>
          <w:numId w:val="16"/>
        </w:numPr>
        <w:rPr>
          <w:rFonts w:ascii="Calibri" w:hAnsi="Calibri" w:cs="Arial"/>
          <w:szCs w:val="24"/>
        </w:rPr>
      </w:pPr>
      <w:r w:rsidRPr="000179D1">
        <w:rPr>
          <w:rFonts w:ascii="Calibri" w:hAnsi="Calibri" w:cs="Arial"/>
          <w:szCs w:val="24"/>
        </w:rPr>
        <w:t>The Society of Ho</w:t>
      </w:r>
      <w:r>
        <w:rPr>
          <w:rFonts w:ascii="Calibri" w:hAnsi="Calibri" w:cs="Arial"/>
          <w:szCs w:val="24"/>
        </w:rPr>
        <w:t>spital Pharmacists of Australia, 2016.</w:t>
      </w:r>
      <w:r w:rsidRPr="000179D1">
        <w:rPr>
          <w:rFonts w:ascii="Calibri" w:hAnsi="Calibri" w:cs="Arial"/>
          <w:szCs w:val="24"/>
        </w:rPr>
        <w:t xml:space="preserve"> Austr</w:t>
      </w:r>
      <w:r>
        <w:rPr>
          <w:rFonts w:ascii="Calibri" w:hAnsi="Calibri" w:cs="Arial"/>
          <w:szCs w:val="24"/>
        </w:rPr>
        <w:t>alian Injectable Drugs Handbook,</w:t>
      </w:r>
      <w:r w:rsidRPr="000179D1">
        <w:rPr>
          <w:rFonts w:ascii="Calibri" w:hAnsi="Calibri" w:cs="Arial"/>
          <w:szCs w:val="24"/>
        </w:rPr>
        <w:t xml:space="preserve"> </w:t>
      </w:r>
      <w:r>
        <w:rPr>
          <w:rFonts w:ascii="Calibri" w:hAnsi="Calibri" w:cs="Arial"/>
          <w:szCs w:val="24"/>
        </w:rPr>
        <w:t>Seventh Edition.</w:t>
      </w:r>
    </w:p>
    <w:p w14:paraId="27AC3834" w14:textId="77777777" w:rsidR="007C6707" w:rsidRPr="00D07169" w:rsidRDefault="007C6707" w:rsidP="005A2A5C">
      <w:pPr>
        <w:numPr>
          <w:ilvl w:val="0"/>
          <w:numId w:val="16"/>
        </w:numPr>
        <w:spacing w:line="200" w:lineRule="atLeast"/>
        <w:ind w:right="-2"/>
        <w:rPr>
          <w:rFonts w:asciiTheme="minorHAnsi" w:hAnsiTheme="minorHAnsi" w:cs="Arial"/>
          <w:i/>
          <w:szCs w:val="24"/>
          <w:lang w:eastAsia="en-AU"/>
        </w:rPr>
      </w:pPr>
      <w:r w:rsidRPr="00D07169">
        <w:rPr>
          <w:rFonts w:asciiTheme="minorHAnsi" w:hAnsiTheme="minorHAnsi"/>
        </w:rPr>
        <w:t>Australian Medicines Handbook Pty Ltd. Australian Medicines Handbook [online] Adelaide (SA): Australian Medicines Handbook Pty Ltd accessed online 1 Jan 2018.</w:t>
      </w:r>
    </w:p>
    <w:p w14:paraId="14F4EF2C" w14:textId="77777777" w:rsidR="007C6707" w:rsidRDefault="007C6707" w:rsidP="005A2A5C">
      <w:pPr>
        <w:pStyle w:val="ListParagraph"/>
        <w:numPr>
          <w:ilvl w:val="0"/>
          <w:numId w:val="16"/>
        </w:numPr>
        <w:rPr>
          <w:rFonts w:ascii="Calibri" w:hAnsi="Calibri" w:cs="Arial"/>
          <w:szCs w:val="24"/>
        </w:rPr>
      </w:pPr>
      <w:r>
        <w:rPr>
          <w:rFonts w:ascii="Calibri" w:hAnsi="Calibri" w:cs="Arial"/>
          <w:szCs w:val="24"/>
        </w:rPr>
        <w:t xml:space="preserve">Victorian Infectious Diseases Service, 2012. Management of Tuberculosis: A handbook for clinicians, First Edition. </w:t>
      </w:r>
    </w:p>
    <w:p w14:paraId="13881B04" w14:textId="77777777" w:rsidR="007C6707" w:rsidRDefault="007C6707" w:rsidP="005A2A5C">
      <w:pPr>
        <w:pStyle w:val="ListParagraph"/>
        <w:numPr>
          <w:ilvl w:val="0"/>
          <w:numId w:val="16"/>
        </w:numPr>
        <w:rPr>
          <w:rFonts w:ascii="Calibri" w:hAnsi="Calibri" w:cs="Arial"/>
          <w:szCs w:val="24"/>
        </w:rPr>
      </w:pPr>
      <w:r>
        <w:rPr>
          <w:rFonts w:ascii="Calibri" w:hAnsi="Calibri" w:cs="Arial"/>
          <w:szCs w:val="24"/>
        </w:rPr>
        <w:t xml:space="preserve">Curry International Tuberculosis </w:t>
      </w:r>
      <w:proofErr w:type="spellStart"/>
      <w:r>
        <w:rPr>
          <w:rFonts w:ascii="Calibri" w:hAnsi="Calibri" w:cs="Arial"/>
          <w:szCs w:val="24"/>
        </w:rPr>
        <w:t>Center</w:t>
      </w:r>
      <w:proofErr w:type="spellEnd"/>
      <w:r>
        <w:rPr>
          <w:rFonts w:ascii="Calibri" w:hAnsi="Calibri" w:cs="Arial"/>
          <w:szCs w:val="24"/>
        </w:rPr>
        <w:t xml:space="preserve"> and California Department of Public Health, 2016. Drug-Resistant Tuberculosis: A survival guide for clinicians, Third Edition.</w:t>
      </w:r>
    </w:p>
    <w:p w14:paraId="67812C7C" w14:textId="77777777" w:rsidR="007C6707" w:rsidRPr="008F4B04" w:rsidRDefault="007C6707" w:rsidP="005A2A5C">
      <w:pPr>
        <w:pStyle w:val="ListParagraph"/>
        <w:numPr>
          <w:ilvl w:val="0"/>
          <w:numId w:val="16"/>
        </w:numPr>
        <w:autoSpaceDE w:val="0"/>
        <w:autoSpaceDN w:val="0"/>
        <w:adjustRightInd w:val="0"/>
        <w:rPr>
          <w:rFonts w:asciiTheme="minorHAnsi" w:hAnsiTheme="minorHAnsi" w:cs="Arial"/>
          <w:sz w:val="20"/>
          <w:lang w:eastAsia="en-AU"/>
        </w:rPr>
      </w:pPr>
      <w:r w:rsidRPr="008F4B04">
        <w:rPr>
          <w:rFonts w:asciiTheme="minorHAnsi" w:hAnsiTheme="minorHAnsi" w:cs="Arial"/>
          <w:lang w:eastAsia="en-AU"/>
        </w:rPr>
        <w:t xml:space="preserve">Ward K, Theiler R. Once-daily dosing of Gentamicin in Obstetrics and </w:t>
      </w:r>
      <w:proofErr w:type="spellStart"/>
      <w:r w:rsidRPr="008F4B04">
        <w:rPr>
          <w:rFonts w:asciiTheme="minorHAnsi" w:hAnsiTheme="minorHAnsi" w:cs="Arial"/>
          <w:lang w:eastAsia="en-AU"/>
        </w:rPr>
        <w:t>Gynecology</w:t>
      </w:r>
      <w:proofErr w:type="spellEnd"/>
      <w:r w:rsidRPr="008F4B04">
        <w:rPr>
          <w:rFonts w:asciiTheme="minorHAnsi" w:hAnsiTheme="minorHAnsi" w:cs="Arial"/>
          <w:lang w:eastAsia="en-AU"/>
        </w:rPr>
        <w:t xml:space="preserve">. Clin </w:t>
      </w:r>
      <w:proofErr w:type="spellStart"/>
      <w:r w:rsidRPr="008F4B04">
        <w:rPr>
          <w:rFonts w:asciiTheme="minorHAnsi" w:hAnsiTheme="minorHAnsi" w:cs="Arial"/>
          <w:lang w:eastAsia="en-AU"/>
        </w:rPr>
        <w:t>Obstet</w:t>
      </w:r>
      <w:proofErr w:type="spellEnd"/>
      <w:r w:rsidRPr="008F4B04">
        <w:rPr>
          <w:rFonts w:asciiTheme="minorHAnsi" w:hAnsiTheme="minorHAnsi" w:cs="Arial"/>
          <w:lang w:eastAsia="en-AU"/>
        </w:rPr>
        <w:t xml:space="preserve"> </w:t>
      </w:r>
      <w:proofErr w:type="spellStart"/>
      <w:r w:rsidRPr="008F4B04">
        <w:rPr>
          <w:rFonts w:asciiTheme="minorHAnsi" w:hAnsiTheme="minorHAnsi" w:cs="Arial"/>
          <w:lang w:eastAsia="en-AU"/>
        </w:rPr>
        <w:t>Gynecol</w:t>
      </w:r>
      <w:proofErr w:type="spellEnd"/>
      <w:r w:rsidRPr="008F4B04">
        <w:rPr>
          <w:rFonts w:asciiTheme="minorHAnsi" w:hAnsiTheme="minorHAnsi" w:cs="Arial"/>
          <w:lang w:eastAsia="en-AU"/>
        </w:rPr>
        <w:t xml:space="preserve"> 2008; 51: 498–506</w:t>
      </w:r>
      <w:r w:rsidRPr="008F4B04">
        <w:rPr>
          <w:rFonts w:asciiTheme="minorHAnsi" w:hAnsiTheme="minorHAnsi" w:cs="Arial"/>
          <w:sz w:val="22"/>
          <w:lang w:eastAsia="en-AU"/>
        </w:rPr>
        <w:t>.</w:t>
      </w:r>
      <w:r w:rsidRPr="008F4B04">
        <w:rPr>
          <w:rFonts w:asciiTheme="minorHAnsi" w:hAnsiTheme="minorHAnsi" w:cs="Arial"/>
          <w:szCs w:val="24"/>
        </w:rPr>
        <w:br/>
      </w:r>
    </w:p>
    <w:p w14:paraId="7E528F3A" w14:textId="075C0B82" w:rsidR="007C6707" w:rsidRPr="005A2A5C" w:rsidRDefault="00CE5172" w:rsidP="005A2A5C">
      <w:pPr>
        <w:jc w:val="right"/>
        <w:rPr>
          <w:rFonts w:asciiTheme="minorHAnsi" w:hAnsiTheme="minorHAnsi" w:cs="Arial"/>
          <w:i/>
          <w:color w:val="0000FF"/>
          <w:szCs w:val="24"/>
          <w:u w:val="single"/>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C6707" w:rsidRPr="001B2BAC" w14:paraId="4704E1FF" w14:textId="77777777" w:rsidTr="007C6707">
        <w:trPr>
          <w:cantSplit/>
          <w:trHeight w:val="285"/>
        </w:trPr>
        <w:tc>
          <w:tcPr>
            <w:tcW w:w="9158" w:type="dxa"/>
            <w:shd w:val="clear" w:color="auto" w:fill="CCCCCC"/>
          </w:tcPr>
          <w:p w14:paraId="633A1A03" w14:textId="0C5A4696" w:rsidR="007C6707" w:rsidRPr="001502DF" w:rsidRDefault="007C6707" w:rsidP="007C6707">
            <w:pPr>
              <w:pStyle w:val="Heading1"/>
              <w:framePr w:hSpace="0" w:wrap="auto" w:vAnchor="margin" w:hAnchor="text" w:xAlign="left" w:yAlign="inline"/>
            </w:pPr>
            <w:bookmarkStart w:id="37" w:name="_Toc38371915"/>
            <w:r>
              <w:t>Search Terms</w:t>
            </w:r>
            <w:bookmarkEnd w:id="37"/>
          </w:p>
        </w:tc>
      </w:tr>
    </w:tbl>
    <w:p w14:paraId="7937CCF3" w14:textId="77777777" w:rsidR="007C6707" w:rsidRDefault="007C6707" w:rsidP="007C6707">
      <w:pPr>
        <w:rPr>
          <w:rStyle w:val="Hyperlink"/>
          <w:rFonts w:asciiTheme="minorHAnsi" w:hAnsiTheme="minorHAnsi" w:cs="Arial"/>
          <w:i/>
          <w:szCs w:val="24"/>
        </w:rPr>
      </w:pPr>
    </w:p>
    <w:p w14:paraId="602DD2D5" w14:textId="11F8AEE5" w:rsidR="007C6707" w:rsidRDefault="007C6707" w:rsidP="007C6707">
      <w:pPr>
        <w:rPr>
          <w:rFonts w:ascii="Calibri" w:hAnsi="Calibri" w:cs="Arial"/>
          <w:szCs w:val="24"/>
        </w:rPr>
      </w:pPr>
      <w:r w:rsidRPr="007C6707">
        <w:rPr>
          <w:rFonts w:ascii="Calibri" w:hAnsi="Calibri" w:cs="Arial"/>
          <w:szCs w:val="24"/>
        </w:rPr>
        <w:t>Intravenous Dosing</w:t>
      </w:r>
      <w:r>
        <w:rPr>
          <w:rFonts w:ascii="Calibri" w:hAnsi="Calibri" w:cs="Arial"/>
          <w:szCs w:val="24"/>
        </w:rPr>
        <w:t>,</w:t>
      </w:r>
      <w:r w:rsidRPr="007C6707">
        <w:rPr>
          <w:rFonts w:ascii="Calibri" w:hAnsi="Calibri" w:cs="Arial"/>
          <w:szCs w:val="24"/>
        </w:rPr>
        <w:t xml:space="preserve"> Monitoring</w:t>
      </w:r>
      <w:r>
        <w:rPr>
          <w:rFonts w:ascii="Calibri" w:hAnsi="Calibri" w:cs="Arial"/>
          <w:szCs w:val="24"/>
        </w:rPr>
        <w:t>,</w:t>
      </w:r>
      <w:r w:rsidRPr="007C6707">
        <w:rPr>
          <w:rFonts w:ascii="Calibri" w:hAnsi="Calibri" w:cs="Arial"/>
          <w:szCs w:val="24"/>
        </w:rPr>
        <w:t xml:space="preserve"> Aminoglycosides</w:t>
      </w:r>
      <w:r>
        <w:rPr>
          <w:rFonts w:ascii="Calibri" w:hAnsi="Calibri" w:cs="Arial"/>
          <w:szCs w:val="24"/>
        </w:rPr>
        <w:t xml:space="preserve">, </w:t>
      </w:r>
      <w:r w:rsidRPr="007C6707">
        <w:rPr>
          <w:rFonts w:ascii="Calibri" w:hAnsi="Calibri" w:cs="Arial"/>
          <w:szCs w:val="24"/>
        </w:rPr>
        <w:t>gentamicin, tobramycin</w:t>
      </w:r>
      <w:r>
        <w:rPr>
          <w:rFonts w:ascii="Calibri" w:hAnsi="Calibri" w:cs="Arial"/>
          <w:szCs w:val="24"/>
        </w:rPr>
        <w:t xml:space="preserve">, </w:t>
      </w:r>
      <w:r w:rsidRPr="007C6707">
        <w:rPr>
          <w:rFonts w:ascii="Calibri" w:hAnsi="Calibri" w:cs="Arial"/>
          <w:szCs w:val="24"/>
        </w:rPr>
        <w:t>amikacin</w:t>
      </w:r>
    </w:p>
    <w:p w14:paraId="147307D7" w14:textId="77777777" w:rsidR="003E3A29" w:rsidRPr="007C6707" w:rsidRDefault="003E3A29" w:rsidP="007C6707">
      <w:pPr>
        <w:rPr>
          <w:rStyle w:val="Hyperlink"/>
          <w:rFonts w:asciiTheme="minorHAnsi" w:hAnsiTheme="minorHAnsi" w:cs="Arial"/>
          <w:i/>
          <w:szCs w:val="24"/>
        </w:rPr>
      </w:pPr>
    </w:p>
    <w:p w14:paraId="6CBE7FCF" w14:textId="58FE11B0" w:rsidR="007C6707" w:rsidRDefault="00CE5172" w:rsidP="007C6707">
      <w:pPr>
        <w:jc w:val="right"/>
        <w:rPr>
          <w:rFonts w:ascii="Calibri" w:hAnsi="Calibri" w:cs="Arial"/>
          <w:b/>
          <w:szCs w:val="24"/>
        </w:rPr>
      </w:pPr>
      <w:hyperlink w:anchor="_top" w:history="1">
        <w:r w:rsidR="007C6707" w:rsidRPr="007C6707">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F2C41" w:rsidRPr="001B2BAC" w14:paraId="4313CB03" w14:textId="77777777" w:rsidTr="007C6707">
        <w:trPr>
          <w:cantSplit/>
          <w:trHeight w:val="285"/>
        </w:trPr>
        <w:tc>
          <w:tcPr>
            <w:tcW w:w="9158" w:type="dxa"/>
            <w:shd w:val="clear" w:color="auto" w:fill="CCCCCC"/>
          </w:tcPr>
          <w:p w14:paraId="40EC44AF" w14:textId="545EC4F9" w:rsidR="006F2C41" w:rsidRPr="001502DF" w:rsidRDefault="007C6707" w:rsidP="007C6707">
            <w:pPr>
              <w:pStyle w:val="Heading1"/>
              <w:framePr w:hSpace="0" w:wrap="auto" w:vAnchor="margin" w:hAnchor="text" w:xAlign="left" w:yAlign="inline"/>
            </w:pPr>
            <w:bookmarkStart w:id="38" w:name="_Appendix"/>
            <w:bookmarkStart w:id="39" w:name="_Toc38371916"/>
            <w:bookmarkEnd w:id="38"/>
            <w:r>
              <w:t>Attachments</w:t>
            </w:r>
            <w:bookmarkEnd w:id="39"/>
          </w:p>
        </w:tc>
      </w:tr>
    </w:tbl>
    <w:p w14:paraId="7B748A58" w14:textId="77777777" w:rsidR="006F2C41" w:rsidRDefault="006F2C41" w:rsidP="00A71C2C">
      <w:pPr>
        <w:jc w:val="both"/>
        <w:rPr>
          <w:rFonts w:ascii="Calibri" w:hAnsi="Calibri" w:cs="Arial"/>
          <w:b/>
          <w:szCs w:val="24"/>
        </w:rPr>
      </w:pPr>
    </w:p>
    <w:p w14:paraId="55AA2EE6" w14:textId="77777777" w:rsidR="007C6707" w:rsidRDefault="007C6707" w:rsidP="007C6707">
      <w:pPr>
        <w:jc w:val="both"/>
        <w:rPr>
          <w:rFonts w:ascii="Calibri" w:hAnsi="Calibri" w:cs="Arial"/>
          <w:b/>
          <w:szCs w:val="24"/>
        </w:rPr>
      </w:pPr>
      <w:r>
        <w:rPr>
          <w:rFonts w:ascii="Calibri" w:hAnsi="Calibri" w:cs="Arial"/>
          <w:b/>
          <w:szCs w:val="24"/>
        </w:rPr>
        <w:t>Appendix 1 – Dosing calculation using Ideal Body Weight (IBW)</w:t>
      </w:r>
    </w:p>
    <w:p w14:paraId="0CFCB4A1" w14:textId="77777777" w:rsidR="007C6707" w:rsidRDefault="007C6707" w:rsidP="00A71C2C">
      <w:pPr>
        <w:jc w:val="both"/>
        <w:rPr>
          <w:rFonts w:ascii="Calibri" w:hAnsi="Calibri" w:cs="Arial"/>
          <w:b/>
          <w:szCs w:val="24"/>
        </w:rPr>
      </w:pPr>
    </w:p>
    <w:p w14:paraId="7041F885" w14:textId="1FBD5949" w:rsidR="007C6707" w:rsidRPr="001A6C6E" w:rsidRDefault="0014699D" w:rsidP="007C6707">
      <w:pPr>
        <w:rPr>
          <w:rFonts w:asciiTheme="minorHAnsi" w:hAnsiTheme="minorHAnsi" w:cstheme="minorHAnsi"/>
          <w:i/>
          <w:iCs/>
          <w:sz w:val="20"/>
        </w:rPr>
      </w:pPr>
      <w:r w:rsidRPr="001A6C6E">
        <w:rPr>
          <w:rFonts w:asciiTheme="minorHAnsi" w:hAnsiTheme="minorHAnsi" w:cstheme="minorHAnsi"/>
          <w:b/>
          <w:sz w:val="20"/>
        </w:rPr>
        <w:t>Disclaimer</w:t>
      </w:r>
      <w:r w:rsidRPr="001A6C6E">
        <w:rPr>
          <w:rFonts w:asciiTheme="minorHAnsi" w:hAnsiTheme="minorHAnsi" w:cstheme="minorHAnsi"/>
          <w:sz w:val="20"/>
        </w:rPr>
        <w:t xml:space="preserve">: </w:t>
      </w:r>
      <w:r w:rsidRPr="001A6C6E">
        <w:rPr>
          <w:rFonts w:asciiTheme="minorHAnsi" w:hAnsiTheme="minorHAnsi" w:cstheme="minorHAnsi"/>
          <w:i/>
          <w:iCs/>
          <w:sz w:val="20"/>
        </w:rPr>
        <w:t>This document has been developed by Canberra Health Services specifically for its own use.  Use of this document and any reliance on the information contained therein by any third party is at his or her own risk and Canberra Health Services assumes no responsibility whatsoever.</w:t>
      </w:r>
    </w:p>
    <w:p w14:paraId="2DE7F669" w14:textId="77777777" w:rsidR="007C6707" w:rsidRPr="007C6707" w:rsidRDefault="007C6707" w:rsidP="007C6707">
      <w:pPr>
        <w:rPr>
          <w:rFonts w:asciiTheme="minorHAnsi" w:hAnsiTheme="minorHAnsi" w:cs="Arial"/>
          <w:i/>
          <w:iCs/>
          <w:sz w:val="20"/>
        </w:rPr>
      </w:pPr>
    </w:p>
    <w:p w14:paraId="36E4E9CB" w14:textId="77777777" w:rsidR="007C6707" w:rsidRPr="007C6707" w:rsidRDefault="007C6707" w:rsidP="007C6707">
      <w:pPr>
        <w:rPr>
          <w:rFonts w:asciiTheme="minorHAnsi" w:hAnsiTheme="minorHAnsi" w:cs="Arial"/>
          <w:i/>
          <w:iCs/>
          <w:sz w:val="20"/>
        </w:rPr>
      </w:pPr>
      <w:r w:rsidRPr="007C6707">
        <w:rPr>
          <w:rFonts w:asciiTheme="minorHAnsi" w:hAnsiTheme="minorHAnsi"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7C6707" w:rsidRPr="007C6707" w14:paraId="2D735A1A" w14:textId="77777777" w:rsidTr="007C6707">
        <w:tc>
          <w:tcPr>
            <w:tcW w:w="2265" w:type="dxa"/>
          </w:tcPr>
          <w:p w14:paraId="06E9EDD0" w14:textId="77777777" w:rsidR="007C6707" w:rsidRPr="007C6707" w:rsidRDefault="007C6707" w:rsidP="007C6707">
            <w:pPr>
              <w:rPr>
                <w:rFonts w:asciiTheme="minorHAnsi" w:hAnsiTheme="minorHAnsi"/>
                <w:i/>
                <w:sz w:val="20"/>
              </w:rPr>
            </w:pPr>
            <w:r w:rsidRPr="007C6707">
              <w:rPr>
                <w:rFonts w:asciiTheme="minorHAnsi" w:hAnsiTheme="minorHAnsi"/>
                <w:i/>
                <w:sz w:val="20"/>
              </w:rPr>
              <w:t>Date Amended</w:t>
            </w:r>
          </w:p>
        </w:tc>
        <w:tc>
          <w:tcPr>
            <w:tcW w:w="2265" w:type="dxa"/>
          </w:tcPr>
          <w:p w14:paraId="5754E89A" w14:textId="77777777" w:rsidR="007C6707" w:rsidRPr="007C6707" w:rsidRDefault="007C6707" w:rsidP="007C6707">
            <w:pPr>
              <w:rPr>
                <w:rFonts w:asciiTheme="minorHAnsi" w:hAnsiTheme="minorHAnsi"/>
                <w:i/>
                <w:sz w:val="20"/>
              </w:rPr>
            </w:pPr>
            <w:r w:rsidRPr="007C6707">
              <w:rPr>
                <w:rFonts w:asciiTheme="minorHAnsi" w:hAnsiTheme="minorHAnsi"/>
                <w:i/>
                <w:sz w:val="20"/>
              </w:rPr>
              <w:t>Section Amended</w:t>
            </w:r>
          </w:p>
        </w:tc>
        <w:tc>
          <w:tcPr>
            <w:tcW w:w="2265" w:type="dxa"/>
          </w:tcPr>
          <w:p w14:paraId="6F6C43F1" w14:textId="77777777" w:rsidR="007C6707" w:rsidRPr="007C6707" w:rsidRDefault="007C6707" w:rsidP="007C6707">
            <w:pPr>
              <w:rPr>
                <w:rFonts w:asciiTheme="minorHAnsi" w:hAnsiTheme="minorHAnsi"/>
                <w:i/>
                <w:sz w:val="20"/>
              </w:rPr>
            </w:pPr>
            <w:r w:rsidRPr="007C6707">
              <w:rPr>
                <w:rFonts w:asciiTheme="minorHAnsi" w:hAnsiTheme="minorHAnsi"/>
                <w:i/>
                <w:sz w:val="20"/>
              </w:rPr>
              <w:t>Divisional Approval</w:t>
            </w:r>
          </w:p>
        </w:tc>
        <w:tc>
          <w:tcPr>
            <w:tcW w:w="2265" w:type="dxa"/>
          </w:tcPr>
          <w:p w14:paraId="27777940" w14:textId="77777777" w:rsidR="007C6707" w:rsidRPr="007C6707" w:rsidRDefault="007C6707" w:rsidP="007C6707">
            <w:pPr>
              <w:rPr>
                <w:rFonts w:asciiTheme="minorHAnsi" w:hAnsiTheme="minorHAnsi"/>
                <w:i/>
                <w:sz w:val="20"/>
              </w:rPr>
            </w:pPr>
            <w:r w:rsidRPr="007C6707">
              <w:rPr>
                <w:rFonts w:asciiTheme="minorHAnsi" w:hAnsiTheme="minorHAnsi"/>
                <w:i/>
                <w:sz w:val="20"/>
              </w:rPr>
              <w:t xml:space="preserve">Final Approval </w:t>
            </w:r>
          </w:p>
        </w:tc>
      </w:tr>
      <w:tr w:rsidR="007C6707" w:rsidRPr="007C6707" w14:paraId="2AE28B45" w14:textId="77777777" w:rsidTr="007C6707">
        <w:tc>
          <w:tcPr>
            <w:tcW w:w="2265" w:type="dxa"/>
          </w:tcPr>
          <w:p w14:paraId="3D5466B8" w14:textId="3B1EC9E8" w:rsidR="007C6707" w:rsidRPr="007C6707" w:rsidRDefault="00F81D90" w:rsidP="007C6707">
            <w:pPr>
              <w:rPr>
                <w:rFonts w:asciiTheme="minorHAnsi" w:hAnsiTheme="minorHAnsi"/>
                <w:i/>
                <w:sz w:val="20"/>
              </w:rPr>
            </w:pPr>
            <w:r>
              <w:rPr>
                <w:rFonts w:asciiTheme="minorHAnsi" w:hAnsiTheme="minorHAnsi"/>
                <w:i/>
                <w:sz w:val="20"/>
              </w:rPr>
              <w:t>21 February 2018</w:t>
            </w:r>
          </w:p>
        </w:tc>
        <w:tc>
          <w:tcPr>
            <w:tcW w:w="2265" w:type="dxa"/>
          </w:tcPr>
          <w:p w14:paraId="69F5816D" w14:textId="581FC59F" w:rsidR="007C6707" w:rsidRPr="007C6707" w:rsidRDefault="00F81D90" w:rsidP="007C6707">
            <w:pPr>
              <w:rPr>
                <w:rFonts w:asciiTheme="minorHAnsi" w:hAnsiTheme="minorHAnsi"/>
                <w:i/>
                <w:sz w:val="20"/>
              </w:rPr>
            </w:pPr>
            <w:r>
              <w:rPr>
                <w:rFonts w:asciiTheme="minorHAnsi" w:hAnsiTheme="minorHAnsi"/>
                <w:i/>
                <w:sz w:val="20"/>
              </w:rPr>
              <w:t>Complete review</w:t>
            </w:r>
          </w:p>
        </w:tc>
        <w:tc>
          <w:tcPr>
            <w:tcW w:w="2265" w:type="dxa"/>
          </w:tcPr>
          <w:p w14:paraId="0A73119C" w14:textId="55ED4FAF" w:rsidR="007C6707" w:rsidRPr="007C6707" w:rsidRDefault="00F81D90" w:rsidP="007C6707">
            <w:pPr>
              <w:rPr>
                <w:rFonts w:asciiTheme="minorHAnsi" w:hAnsiTheme="minorHAnsi"/>
                <w:i/>
                <w:sz w:val="20"/>
              </w:rPr>
            </w:pPr>
            <w:r>
              <w:rPr>
                <w:rFonts w:asciiTheme="minorHAnsi" w:hAnsiTheme="minorHAnsi"/>
                <w:i/>
                <w:sz w:val="20"/>
              </w:rPr>
              <w:t>Lisa Gilmore, ED CSS</w:t>
            </w:r>
          </w:p>
        </w:tc>
        <w:tc>
          <w:tcPr>
            <w:tcW w:w="2265" w:type="dxa"/>
          </w:tcPr>
          <w:p w14:paraId="7B774D6F" w14:textId="0C16CE22" w:rsidR="007C6707" w:rsidRPr="007C6707" w:rsidRDefault="00F81D90" w:rsidP="007C6707">
            <w:pPr>
              <w:rPr>
                <w:rFonts w:asciiTheme="minorHAnsi" w:hAnsiTheme="minorHAnsi"/>
                <w:i/>
                <w:sz w:val="20"/>
              </w:rPr>
            </w:pPr>
            <w:r>
              <w:rPr>
                <w:rFonts w:asciiTheme="minorHAnsi" w:hAnsiTheme="minorHAnsi"/>
                <w:i/>
                <w:sz w:val="20"/>
              </w:rPr>
              <w:t>CHHS Policy Committee</w:t>
            </w:r>
          </w:p>
        </w:tc>
      </w:tr>
      <w:tr w:rsidR="00D906A5" w:rsidRPr="007C6707" w14:paraId="26B2187E" w14:textId="77777777" w:rsidTr="007C6707">
        <w:tc>
          <w:tcPr>
            <w:tcW w:w="2265" w:type="dxa"/>
          </w:tcPr>
          <w:p w14:paraId="500597ED" w14:textId="77777777" w:rsidR="00D906A5" w:rsidRPr="007C6707" w:rsidRDefault="00D906A5" w:rsidP="00D906A5">
            <w:pPr>
              <w:rPr>
                <w:rFonts w:asciiTheme="minorHAnsi" w:hAnsiTheme="minorHAnsi"/>
                <w:i/>
                <w:sz w:val="20"/>
              </w:rPr>
            </w:pPr>
          </w:p>
        </w:tc>
        <w:tc>
          <w:tcPr>
            <w:tcW w:w="2265" w:type="dxa"/>
          </w:tcPr>
          <w:p w14:paraId="01A25257" w14:textId="2DEB9F2A" w:rsidR="00D906A5" w:rsidRPr="00D906A5" w:rsidRDefault="00D906A5" w:rsidP="00D906A5">
            <w:pPr>
              <w:rPr>
                <w:rFonts w:asciiTheme="minorHAnsi" w:hAnsiTheme="minorHAnsi" w:cstheme="minorHAnsi"/>
                <w:i/>
                <w:sz w:val="20"/>
                <w:szCs w:val="16"/>
              </w:rPr>
            </w:pPr>
            <w:r w:rsidRPr="00D906A5">
              <w:rPr>
                <w:rFonts w:asciiTheme="minorHAnsi" w:hAnsiTheme="minorHAnsi" w:cstheme="minorHAnsi"/>
                <w:i/>
                <w:iCs/>
                <w:sz w:val="20"/>
                <w:szCs w:val="16"/>
                <w:lang w:eastAsia="en-AU"/>
              </w:rPr>
              <w:t>Template and document updated to reflect current organisational structure</w:t>
            </w:r>
          </w:p>
        </w:tc>
        <w:tc>
          <w:tcPr>
            <w:tcW w:w="2265" w:type="dxa"/>
          </w:tcPr>
          <w:p w14:paraId="4B3D9504" w14:textId="4345CDDF" w:rsidR="00D906A5" w:rsidRPr="00D906A5" w:rsidRDefault="00D906A5" w:rsidP="00D906A5">
            <w:pPr>
              <w:rPr>
                <w:rFonts w:asciiTheme="minorHAnsi" w:hAnsiTheme="minorHAnsi" w:cstheme="minorHAnsi"/>
                <w:i/>
                <w:sz w:val="20"/>
                <w:szCs w:val="16"/>
              </w:rPr>
            </w:pPr>
            <w:r w:rsidRPr="00D906A5">
              <w:rPr>
                <w:rFonts w:asciiTheme="minorHAnsi" w:hAnsiTheme="minorHAnsi" w:cstheme="minorHAnsi"/>
                <w:i/>
                <w:iCs/>
                <w:sz w:val="20"/>
                <w:szCs w:val="16"/>
                <w:lang w:eastAsia="en-AU"/>
              </w:rPr>
              <w:t>Policy Team Leader</w:t>
            </w:r>
          </w:p>
        </w:tc>
        <w:tc>
          <w:tcPr>
            <w:tcW w:w="2265" w:type="dxa"/>
          </w:tcPr>
          <w:p w14:paraId="148AAA40" w14:textId="67F7C604" w:rsidR="00D906A5" w:rsidRPr="00D906A5" w:rsidRDefault="00D906A5" w:rsidP="00D906A5">
            <w:pPr>
              <w:rPr>
                <w:rFonts w:asciiTheme="minorHAnsi" w:hAnsiTheme="minorHAnsi" w:cstheme="minorHAnsi"/>
                <w:i/>
                <w:sz w:val="20"/>
                <w:szCs w:val="16"/>
              </w:rPr>
            </w:pPr>
            <w:r w:rsidRPr="00D906A5">
              <w:rPr>
                <w:rFonts w:asciiTheme="minorHAnsi" w:hAnsiTheme="minorHAnsi" w:cstheme="minorHAnsi"/>
                <w:i/>
                <w:iCs/>
                <w:sz w:val="20"/>
                <w:szCs w:val="16"/>
                <w:lang w:eastAsia="en-AU"/>
              </w:rPr>
              <w:t xml:space="preserve">Co-chair CHS Policy Committee </w:t>
            </w:r>
          </w:p>
        </w:tc>
      </w:tr>
      <w:tr w:rsidR="00921204" w:rsidRPr="007C6707" w14:paraId="6F22011D" w14:textId="77777777" w:rsidTr="007C6707">
        <w:tc>
          <w:tcPr>
            <w:tcW w:w="2265" w:type="dxa"/>
          </w:tcPr>
          <w:p w14:paraId="48274081" w14:textId="620EB953" w:rsidR="00921204" w:rsidRPr="007C6707" w:rsidRDefault="00F50FF6" w:rsidP="00D906A5">
            <w:pPr>
              <w:rPr>
                <w:rFonts w:asciiTheme="minorHAnsi" w:hAnsiTheme="minorHAnsi"/>
                <w:i/>
                <w:sz w:val="20"/>
              </w:rPr>
            </w:pPr>
            <w:r>
              <w:rPr>
                <w:rFonts w:asciiTheme="minorHAnsi" w:hAnsiTheme="minorHAnsi"/>
                <w:i/>
                <w:sz w:val="20"/>
              </w:rPr>
              <w:t xml:space="preserve">24 June 2021 </w:t>
            </w:r>
          </w:p>
        </w:tc>
        <w:tc>
          <w:tcPr>
            <w:tcW w:w="2265" w:type="dxa"/>
          </w:tcPr>
          <w:p w14:paraId="24E27EF7" w14:textId="5DE8CB96" w:rsidR="00921204" w:rsidRPr="00D906A5" w:rsidRDefault="00F50FF6" w:rsidP="00D906A5">
            <w:pPr>
              <w:rPr>
                <w:rFonts w:asciiTheme="minorHAnsi" w:hAnsiTheme="minorHAnsi" w:cstheme="minorHAnsi"/>
                <w:i/>
                <w:iCs/>
                <w:sz w:val="20"/>
                <w:szCs w:val="16"/>
                <w:lang w:eastAsia="en-AU"/>
              </w:rPr>
            </w:pPr>
            <w:r>
              <w:rPr>
                <w:rFonts w:asciiTheme="minorHAnsi" w:hAnsiTheme="minorHAnsi" w:cstheme="minorHAnsi"/>
                <w:i/>
                <w:iCs/>
                <w:sz w:val="20"/>
                <w:szCs w:val="16"/>
                <w:lang w:eastAsia="en-AU"/>
              </w:rPr>
              <w:t xml:space="preserve">Review date extended until 1 December 2021 </w:t>
            </w:r>
          </w:p>
        </w:tc>
        <w:tc>
          <w:tcPr>
            <w:tcW w:w="2265" w:type="dxa"/>
          </w:tcPr>
          <w:p w14:paraId="202D8500" w14:textId="41989E34" w:rsidR="00921204" w:rsidRPr="00D906A5" w:rsidRDefault="00F50FF6" w:rsidP="00D906A5">
            <w:pPr>
              <w:rPr>
                <w:rFonts w:asciiTheme="minorHAnsi" w:hAnsiTheme="minorHAnsi" w:cstheme="minorHAnsi"/>
                <w:i/>
                <w:iCs/>
                <w:sz w:val="20"/>
                <w:szCs w:val="16"/>
                <w:lang w:eastAsia="en-AU"/>
              </w:rPr>
            </w:pPr>
            <w:r>
              <w:rPr>
                <w:rFonts w:asciiTheme="minorHAnsi" w:hAnsiTheme="minorHAnsi" w:cstheme="minorHAnsi"/>
                <w:i/>
                <w:iCs/>
                <w:sz w:val="20"/>
                <w:szCs w:val="16"/>
                <w:lang w:eastAsia="en-AU"/>
              </w:rPr>
              <w:t xml:space="preserve">Dr Nick </w:t>
            </w:r>
            <w:proofErr w:type="spellStart"/>
            <w:r>
              <w:rPr>
                <w:rFonts w:asciiTheme="minorHAnsi" w:hAnsiTheme="minorHAnsi" w:cstheme="minorHAnsi"/>
                <w:i/>
                <w:iCs/>
                <w:sz w:val="20"/>
                <w:szCs w:val="16"/>
                <w:lang w:eastAsia="en-AU"/>
              </w:rPr>
              <w:t>Coatsworth</w:t>
            </w:r>
            <w:proofErr w:type="spellEnd"/>
            <w:r>
              <w:rPr>
                <w:rFonts w:asciiTheme="minorHAnsi" w:hAnsiTheme="minorHAnsi" w:cstheme="minorHAnsi"/>
                <w:i/>
                <w:iCs/>
                <w:sz w:val="20"/>
                <w:szCs w:val="16"/>
                <w:lang w:eastAsia="en-AU"/>
              </w:rPr>
              <w:t xml:space="preserve"> </w:t>
            </w:r>
          </w:p>
        </w:tc>
        <w:tc>
          <w:tcPr>
            <w:tcW w:w="2265" w:type="dxa"/>
          </w:tcPr>
          <w:p w14:paraId="38438AFB" w14:textId="77777777" w:rsidR="003D238A" w:rsidRPr="003D238A" w:rsidRDefault="003D238A" w:rsidP="003D238A">
            <w:pPr>
              <w:rPr>
                <w:rFonts w:asciiTheme="minorHAnsi" w:hAnsiTheme="minorHAnsi" w:cstheme="minorHAnsi"/>
                <w:i/>
                <w:iCs/>
                <w:sz w:val="20"/>
                <w:szCs w:val="16"/>
                <w:lang w:eastAsia="en-AU"/>
              </w:rPr>
            </w:pPr>
            <w:r w:rsidRPr="003D238A">
              <w:rPr>
                <w:rFonts w:asciiTheme="minorHAnsi" w:hAnsiTheme="minorHAnsi" w:cstheme="minorHAnsi"/>
                <w:i/>
                <w:iCs/>
                <w:sz w:val="20"/>
                <w:szCs w:val="16"/>
                <w:lang w:eastAsia="en-AU"/>
              </w:rPr>
              <w:t>Kath Macpherson</w:t>
            </w:r>
          </w:p>
          <w:p w14:paraId="0D541E7B" w14:textId="12378911" w:rsidR="00921204" w:rsidRPr="00D906A5" w:rsidRDefault="003D238A" w:rsidP="003D238A">
            <w:pPr>
              <w:rPr>
                <w:rFonts w:asciiTheme="minorHAnsi" w:hAnsiTheme="minorHAnsi" w:cstheme="minorHAnsi"/>
                <w:i/>
                <w:iCs/>
                <w:sz w:val="20"/>
                <w:szCs w:val="16"/>
                <w:lang w:eastAsia="en-AU"/>
              </w:rPr>
            </w:pPr>
            <w:r w:rsidRPr="003D238A">
              <w:rPr>
                <w:rFonts w:asciiTheme="minorHAnsi" w:hAnsiTheme="minorHAnsi" w:cstheme="minorHAnsi"/>
                <w:i/>
                <w:iCs/>
                <w:sz w:val="20"/>
                <w:szCs w:val="16"/>
                <w:lang w:eastAsia="en-AU"/>
              </w:rPr>
              <w:t>A/g Senior Director, Policy, Planning and Government Relations</w:t>
            </w:r>
          </w:p>
        </w:tc>
      </w:tr>
    </w:tbl>
    <w:p w14:paraId="196258F1" w14:textId="1E6EF5CC" w:rsidR="007C6707" w:rsidRPr="007C6707" w:rsidRDefault="007C6707" w:rsidP="007C6707">
      <w:pPr>
        <w:rPr>
          <w:rFonts w:asciiTheme="minorHAnsi" w:hAnsiTheme="minorHAnsi" w:cs="Arial"/>
          <w:sz w:val="20"/>
        </w:rPr>
      </w:pPr>
    </w:p>
    <w:p w14:paraId="4E22027F" w14:textId="77777777" w:rsidR="00D906A5" w:rsidRDefault="00D906A5" w:rsidP="007C6707">
      <w:pPr>
        <w:rPr>
          <w:rFonts w:asciiTheme="minorHAnsi" w:hAnsiTheme="minorHAnsi" w:cs="Arial"/>
          <w:i/>
          <w:sz w:val="20"/>
        </w:rPr>
      </w:pPr>
    </w:p>
    <w:p w14:paraId="24E745A6" w14:textId="77777777" w:rsidR="00D906A5" w:rsidRDefault="00D906A5" w:rsidP="007C6707">
      <w:pPr>
        <w:rPr>
          <w:rFonts w:asciiTheme="minorHAnsi" w:hAnsiTheme="minorHAnsi" w:cs="Arial"/>
          <w:i/>
          <w:sz w:val="20"/>
        </w:rPr>
      </w:pPr>
    </w:p>
    <w:p w14:paraId="3F1AD377" w14:textId="77777777" w:rsidR="00D906A5" w:rsidRDefault="00D906A5" w:rsidP="007C6707">
      <w:pPr>
        <w:rPr>
          <w:rFonts w:asciiTheme="minorHAnsi" w:hAnsiTheme="minorHAnsi" w:cs="Arial"/>
          <w:i/>
          <w:sz w:val="20"/>
        </w:rPr>
      </w:pPr>
    </w:p>
    <w:p w14:paraId="6CFACDBF" w14:textId="5767AB13" w:rsidR="007C6707" w:rsidRPr="007C6707" w:rsidRDefault="007C6707" w:rsidP="007C6707">
      <w:pPr>
        <w:rPr>
          <w:rFonts w:asciiTheme="minorHAnsi" w:hAnsiTheme="minorHAnsi" w:cs="Arial"/>
          <w:i/>
          <w:sz w:val="20"/>
        </w:rPr>
      </w:pPr>
      <w:r w:rsidRPr="007C6707">
        <w:rPr>
          <w:rFonts w:asciiTheme="minorHAnsi" w:hAnsiTheme="minorHAnsi"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7C6707" w:rsidRPr="007C6707" w14:paraId="38B03D75" w14:textId="77777777" w:rsidTr="007C6707">
        <w:tc>
          <w:tcPr>
            <w:tcW w:w="2122" w:type="dxa"/>
          </w:tcPr>
          <w:p w14:paraId="6CB3FB11" w14:textId="77777777" w:rsidR="007C6707" w:rsidRPr="007C6707" w:rsidRDefault="007C6707" w:rsidP="007C6707">
            <w:pPr>
              <w:rPr>
                <w:rFonts w:asciiTheme="minorHAnsi" w:hAnsiTheme="minorHAnsi"/>
                <w:i/>
                <w:sz w:val="20"/>
              </w:rPr>
            </w:pPr>
            <w:r w:rsidRPr="007C6707">
              <w:rPr>
                <w:rFonts w:asciiTheme="minorHAnsi" w:hAnsiTheme="minorHAnsi"/>
                <w:i/>
                <w:sz w:val="20"/>
              </w:rPr>
              <w:t>Document Number</w:t>
            </w:r>
          </w:p>
        </w:tc>
        <w:tc>
          <w:tcPr>
            <w:tcW w:w="6938" w:type="dxa"/>
          </w:tcPr>
          <w:p w14:paraId="4FB39D8E" w14:textId="77777777" w:rsidR="007C6707" w:rsidRPr="007C6707" w:rsidRDefault="007C6707" w:rsidP="007C6707">
            <w:pPr>
              <w:rPr>
                <w:rFonts w:asciiTheme="minorHAnsi" w:hAnsiTheme="minorHAnsi"/>
                <w:i/>
                <w:sz w:val="20"/>
              </w:rPr>
            </w:pPr>
            <w:r w:rsidRPr="007C6707">
              <w:rPr>
                <w:rFonts w:asciiTheme="minorHAnsi" w:hAnsiTheme="minorHAnsi"/>
                <w:i/>
                <w:sz w:val="20"/>
              </w:rPr>
              <w:t>Document Name</w:t>
            </w:r>
          </w:p>
        </w:tc>
      </w:tr>
      <w:tr w:rsidR="007C6707" w:rsidRPr="007C6707" w14:paraId="6C51CB3B" w14:textId="77777777" w:rsidTr="007C6707">
        <w:tc>
          <w:tcPr>
            <w:tcW w:w="2122" w:type="dxa"/>
          </w:tcPr>
          <w:p w14:paraId="5C32886B" w14:textId="192592D7" w:rsidR="007C6707" w:rsidRPr="007C6707" w:rsidRDefault="00F81D90" w:rsidP="007C6707">
            <w:pPr>
              <w:rPr>
                <w:rFonts w:asciiTheme="minorHAnsi" w:hAnsiTheme="minorHAnsi"/>
                <w:i/>
                <w:sz w:val="20"/>
              </w:rPr>
            </w:pPr>
            <w:r w:rsidRPr="00F81D90">
              <w:rPr>
                <w:rFonts w:asciiTheme="minorHAnsi" w:hAnsiTheme="minorHAnsi"/>
                <w:i/>
                <w:sz w:val="20"/>
              </w:rPr>
              <w:t>CHHS12/326</w:t>
            </w:r>
          </w:p>
        </w:tc>
        <w:tc>
          <w:tcPr>
            <w:tcW w:w="6938" w:type="dxa"/>
          </w:tcPr>
          <w:p w14:paraId="19A865B0" w14:textId="1018B5DD" w:rsidR="007C6707" w:rsidRPr="007C6707" w:rsidRDefault="00F81D90" w:rsidP="007C6707">
            <w:pPr>
              <w:rPr>
                <w:rFonts w:asciiTheme="minorHAnsi" w:hAnsiTheme="minorHAnsi"/>
                <w:i/>
                <w:sz w:val="20"/>
              </w:rPr>
            </w:pPr>
            <w:r w:rsidRPr="00F81D90">
              <w:rPr>
                <w:rFonts w:asciiTheme="minorHAnsi" w:hAnsiTheme="minorHAnsi"/>
                <w:i/>
                <w:sz w:val="20"/>
              </w:rPr>
              <w:t>Once-Daily Aminoglycosides (ADULTS) Dosing and Monitoring Clinical Guidelines for gentamicin and tobramycin</w:t>
            </w:r>
          </w:p>
        </w:tc>
      </w:tr>
      <w:tr w:rsidR="007C6707" w:rsidRPr="007C6707" w14:paraId="5CBA43FE" w14:textId="77777777" w:rsidTr="007C6707">
        <w:tc>
          <w:tcPr>
            <w:tcW w:w="2122" w:type="dxa"/>
          </w:tcPr>
          <w:p w14:paraId="18EE7C6A" w14:textId="77777777" w:rsidR="007C6707" w:rsidRPr="007C6707" w:rsidRDefault="007C6707" w:rsidP="007C6707">
            <w:pPr>
              <w:rPr>
                <w:rFonts w:asciiTheme="minorHAnsi" w:hAnsiTheme="minorHAnsi"/>
                <w:i/>
                <w:sz w:val="20"/>
              </w:rPr>
            </w:pPr>
          </w:p>
        </w:tc>
        <w:tc>
          <w:tcPr>
            <w:tcW w:w="6938" w:type="dxa"/>
          </w:tcPr>
          <w:p w14:paraId="1027AA3B" w14:textId="77777777" w:rsidR="007C6707" w:rsidRPr="007C6707" w:rsidRDefault="007C6707" w:rsidP="007C6707">
            <w:pPr>
              <w:rPr>
                <w:rFonts w:asciiTheme="minorHAnsi" w:hAnsiTheme="minorHAnsi"/>
                <w:i/>
                <w:sz w:val="20"/>
              </w:rPr>
            </w:pPr>
          </w:p>
        </w:tc>
      </w:tr>
    </w:tbl>
    <w:p w14:paraId="75D9D4B4" w14:textId="77777777" w:rsidR="00712C9A" w:rsidRPr="00032890" w:rsidRDefault="00712C9A" w:rsidP="00A71C2C">
      <w:pPr>
        <w:jc w:val="both"/>
        <w:rPr>
          <w:rFonts w:ascii="Calibri" w:hAnsi="Calibri" w:cs="Arial"/>
          <w:szCs w:val="24"/>
        </w:rPr>
      </w:pPr>
    </w:p>
    <w:p w14:paraId="49D2048A" w14:textId="77777777" w:rsidR="00D906A5" w:rsidRDefault="00D906A5">
      <w:pPr>
        <w:rPr>
          <w:rFonts w:ascii="Calibri" w:hAnsi="Calibri"/>
          <w:b/>
          <w:bCs/>
          <w:iCs/>
          <w:szCs w:val="24"/>
        </w:rPr>
      </w:pPr>
      <w:r>
        <w:br w:type="page"/>
      </w:r>
    </w:p>
    <w:p w14:paraId="1B35C473" w14:textId="032F54BA" w:rsidR="007C6707" w:rsidRDefault="007C6707" w:rsidP="007C6707">
      <w:pPr>
        <w:pStyle w:val="Heading2"/>
      </w:pPr>
      <w:bookmarkStart w:id="40" w:name="_Toc38371917"/>
      <w:r>
        <w:lastRenderedPageBreak/>
        <w:t>Appendix 1 – Dosing calculation using Ideal Body Weight (IBW)</w:t>
      </w:r>
      <w:bookmarkEnd w:id="40"/>
    </w:p>
    <w:p w14:paraId="78BE30D0" w14:textId="77777777" w:rsidR="007C6707" w:rsidRDefault="007C6707" w:rsidP="007C6707">
      <w:pPr>
        <w:jc w:val="both"/>
        <w:rPr>
          <w:rFonts w:ascii="Calibri" w:hAnsi="Calibri" w:cs="Arial"/>
          <w:b/>
          <w:szCs w:val="24"/>
        </w:rPr>
      </w:pPr>
    </w:p>
    <w:p w14:paraId="33638EE1" w14:textId="77777777" w:rsidR="007C6707" w:rsidRDefault="007C6707" w:rsidP="005A2A5C">
      <w:pPr>
        <w:pStyle w:val="ListParagraph"/>
        <w:numPr>
          <w:ilvl w:val="0"/>
          <w:numId w:val="11"/>
        </w:numPr>
        <w:rPr>
          <w:rFonts w:asciiTheme="minorHAnsi" w:hAnsiTheme="minorHAnsi"/>
          <w:szCs w:val="24"/>
        </w:rPr>
      </w:pPr>
      <w:r w:rsidRPr="00972569">
        <w:rPr>
          <w:rFonts w:asciiTheme="minorHAnsi" w:hAnsiTheme="minorHAnsi"/>
          <w:szCs w:val="24"/>
        </w:rPr>
        <w:t>Males:  50 kg + 0.9 kg/cm for each cm over 152 cm</w:t>
      </w:r>
    </w:p>
    <w:p w14:paraId="0D6D1633" w14:textId="77777777" w:rsidR="007C6707" w:rsidRDefault="007C6707" w:rsidP="005A2A5C">
      <w:pPr>
        <w:pStyle w:val="ListParagraph"/>
        <w:numPr>
          <w:ilvl w:val="0"/>
          <w:numId w:val="11"/>
        </w:numPr>
        <w:rPr>
          <w:rFonts w:asciiTheme="minorHAnsi" w:hAnsiTheme="minorHAnsi"/>
          <w:szCs w:val="24"/>
        </w:rPr>
      </w:pPr>
      <w:r w:rsidRPr="00972569">
        <w:rPr>
          <w:rFonts w:asciiTheme="minorHAnsi" w:hAnsiTheme="minorHAnsi"/>
          <w:szCs w:val="24"/>
        </w:rPr>
        <w:t>Females:  45.5 kg + 0.9 kg/cm for each cm over 152 cm</w:t>
      </w:r>
    </w:p>
    <w:p w14:paraId="2CF94871" w14:textId="77777777" w:rsidR="007C6707" w:rsidRPr="004070B8" w:rsidRDefault="007C6707" w:rsidP="005A2A5C">
      <w:pPr>
        <w:pStyle w:val="ListParagraph"/>
        <w:numPr>
          <w:ilvl w:val="0"/>
          <w:numId w:val="11"/>
        </w:numPr>
        <w:rPr>
          <w:rFonts w:asciiTheme="minorHAnsi" w:hAnsiTheme="minorHAnsi"/>
          <w:b/>
          <w:szCs w:val="24"/>
        </w:rPr>
      </w:pPr>
      <w:r w:rsidRPr="00972569">
        <w:rPr>
          <w:rFonts w:asciiTheme="minorHAnsi" w:hAnsiTheme="minorHAnsi"/>
          <w:szCs w:val="24"/>
        </w:rPr>
        <w:t>If the patient is obese, calculate 40% of the difference between the IBW and the total body weight and add this to the IBW to give an adjusted dosing weight.</w:t>
      </w:r>
    </w:p>
    <w:p w14:paraId="725CED71" w14:textId="77777777" w:rsidR="007C6707" w:rsidRDefault="007C6707" w:rsidP="007C6707">
      <w:pPr>
        <w:jc w:val="both"/>
        <w:rPr>
          <w:rFonts w:ascii="Calibri" w:hAnsi="Calibri" w:cs="Arial"/>
          <w:szCs w:val="24"/>
        </w:rPr>
      </w:pPr>
    </w:p>
    <w:tbl>
      <w:tblPr>
        <w:tblStyle w:val="TableGrid"/>
        <w:tblW w:w="0" w:type="auto"/>
        <w:jc w:val="center"/>
        <w:tblLook w:val="04A0" w:firstRow="1" w:lastRow="0" w:firstColumn="1" w:lastColumn="0" w:noHBand="0" w:noVBand="1"/>
      </w:tblPr>
      <w:tblGrid>
        <w:gridCol w:w="2122"/>
        <w:gridCol w:w="2268"/>
        <w:gridCol w:w="2268"/>
      </w:tblGrid>
      <w:tr w:rsidR="007C6707" w14:paraId="5265A6CD" w14:textId="77777777" w:rsidTr="007C6707">
        <w:trPr>
          <w:jc w:val="center"/>
        </w:trPr>
        <w:tc>
          <w:tcPr>
            <w:tcW w:w="2122" w:type="dxa"/>
            <w:vMerge w:val="restart"/>
            <w:vAlign w:val="center"/>
          </w:tcPr>
          <w:p w14:paraId="720DF272" w14:textId="77777777" w:rsidR="007C6707" w:rsidRDefault="007C6707" w:rsidP="007C6707">
            <w:pPr>
              <w:jc w:val="center"/>
              <w:rPr>
                <w:rFonts w:ascii="Calibri" w:hAnsi="Calibri" w:cs="Arial"/>
                <w:szCs w:val="24"/>
              </w:rPr>
            </w:pPr>
            <w:r>
              <w:rPr>
                <w:rFonts w:ascii="Calibri" w:hAnsi="Calibri" w:cs="Arial"/>
                <w:szCs w:val="24"/>
              </w:rPr>
              <w:t>Height (cm)</w:t>
            </w:r>
          </w:p>
        </w:tc>
        <w:tc>
          <w:tcPr>
            <w:tcW w:w="4536" w:type="dxa"/>
            <w:gridSpan w:val="2"/>
            <w:vAlign w:val="center"/>
          </w:tcPr>
          <w:p w14:paraId="1C1AFCEC" w14:textId="77777777" w:rsidR="007C6707" w:rsidRDefault="007C6707" w:rsidP="007C6707">
            <w:pPr>
              <w:jc w:val="center"/>
              <w:rPr>
                <w:rFonts w:ascii="Calibri" w:hAnsi="Calibri" w:cs="Arial"/>
                <w:szCs w:val="24"/>
              </w:rPr>
            </w:pPr>
            <w:r>
              <w:rPr>
                <w:rFonts w:ascii="Calibri" w:hAnsi="Calibri" w:cs="Arial"/>
                <w:szCs w:val="24"/>
              </w:rPr>
              <w:t>IBW (kg)</w:t>
            </w:r>
          </w:p>
        </w:tc>
      </w:tr>
      <w:tr w:rsidR="007C6707" w14:paraId="69B61103" w14:textId="77777777" w:rsidTr="007C6707">
        <w:trPr>
          <w:jc w:val="center"/>
        </w:trPr>
        <w:tc>
          <w:tcPr>
            <w:tcW w:w="2122" w:type="dxa"/>
            <w:vMerge/>
            <w:vAlign w:val="center"/>
          </w:tcPr>
          <w:p w14:paraId="20BCE1BD" w14:textId="77777777" w:rsidR="007C6707" w:rsidRDefault="007C6707" w:rsidP="007C6707">
            <w:pPr>
              <w:jc w:val="center"/>
              <w:rPr>
                <w:rFonts w:ascii="Calibri" w:hAnsi="Calibri" w:cs="Arial"/>
                <w:szCs w:val="24"/>
              </w:rPr>
            </w:pPr>
          </w:p>
        </w:tc>
        <w:tc>
          <w:tcPr>
            <w:tcW w:w="2268" w:type="dxa"/>
            <w:vAlign w:val="center"/>
          </w:tcPr>
          <w:p w14:paraId="092CCC48" w14:textId="77777777" w:rsidR="007C6707" w:rsidRDefault="007C6707" w:rsidP="007C6707">
            <w:pPr>
              <w:jc w:val="center"/>
              <w:rPr>
                <w:rFonts w:ascii="Calibri" w:hAnsi="Calibri" w:cs="Arial"/>
                <w:szCs w:val="24"/>
              </w:rPr>
            </w:pPr>
            <w:r>
              <w:rPr>
                <w:rFonts w:ascii="Calibri" w:hAnsi="Calibri" w:cs="Arial"/>
                <w:szCs w:val="24"/>
              </w:rPr>
              <w:t>Male</w:t>
            </w:r>
          </w:p>
        </w:tc>
        <w:tc>
          <w:tcPr>
            <w:tcW w:w="2268" w:type="dxa"/>
            <w:tcBorders>
              <w:bottom w:val="single" w:sz="4" w:space="0" w:color="auto"/>
            </w:tcBorders>
            <w:vAlign w:val="center"/>
          </w:tcPr>
          <w:p w14:paraId="16A5979D" w14:textId="77777777" w:rsidR="007C6707" w:rsidRDefault="007C6707" w:rsidP="007C6707">
            <w:pPr>
              <w:jc w:val="center"/>
              <w:rPr>
                <w:rFonts w:ascii="Calibri" w:hAnsi="Calibri" w:cs="Arial"/>
                <w:szCs w:val="24"/>
              </w:rPr>
            </w:pPr>
            <w:r>
              <w:rPr>
                <w:rFonts w:ascii="Calibri" w:hAnsi="Calibri" w:cs="Arial"/>
                <w:szCs w:val="24"/>
              </w:rPr>
              <w:t>Female</w:t>
            </w:r>
          </w:p>
        </w:tc>
      </w:tr>
      <w:tr w:rsidR="007C6707" w:rsidRPr="004A636C" w14:paraId="5CD11982" w14:textId="77777777" w:rsidTr="007C6707">
        <w:trPr>
          <w:trHeight w:val="300"/>
          <w:jc w:val="center"/>
        </w:trPr>
        <w:tc>
          <w:tcPr>
            <w:tcW w:w="2122" w:type="dxa"/>
            <w:noWrap/>
            <w:vAlign w:val="center"/>
            <w:hideMark/>
          </w:tcPr>
          <w:p w14:paraId="08B79C06"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150</w:t>
            </w:r>
          </w:p>
        </w:tc>
        <w:tc>
          <w:tcPr>
            <w:tcW w:w="2268" w:type="dxa"/>
            <w:noWrap/>
            <w:vAlign w:val="center"/>
            <w:hideMark/>
          </w:tcPr>
          <w:p w14:paraId="06E9564B"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A032FE"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46</w:t>
            </w:r>
          </w:p>
        </w:tc>
      </w:tr>
      <w:tr w:rsidR="007C6707" w:rsidRPr="004A636C" w14:paraId="2D79F7F1" w14:textId="77777777" w:rsidTr="007C6707">
        <w:trPr>
          <w:trHeight w:val="300"/>
          <w:jc w:val="center"/>
        </w:trPr>
        <w:tc>
          <w:tcPr>
            <w:tcW w:w="2122" w:type="dxa"/>
            <w:noWrap/>
            <w:vAlign w:val="center"/>
            <w:hideMark/>
          </w:tcPr>
          <w:p w14:paraId="5CCC64E5"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155</w:t>
            </w:r>
          </w:p>
        </w:tc>
        <w:tc>
          <w:tcPr>
            <w:tcW w:w="2268" w:type="dxa"/>
            <w:noWrap/>
            <w:vAlign w:val="center"/>
            <w:hideMark/>
          </w:tcPr>
          <w:p w14:paraId="284788C6"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56D6C4"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48</w:t>
            </w:r>
          </w:p>
        </w:tc>
      </w:tr>
      <w:tr w:rsidR="007C6707" w:rsidRPr="004A636C" w14:paraId="11B6841C" w14:textId="77777777" w:rsidTr="007C6707">
        <w:trPr>
          <w:trHeight w:val="300"/>
          <w:jc w:val="center"/>
        </w:trPr>
        <w:tc>
          <w:tcPr>
            <w:tcW w:w="2122" w:type="dxa"/>
            <w:noWrap/>
            <w:vAlign w:val="center"/>
            <w:hideMark/>
          </w:tcPr>
          <w:p w14:paraId="3B29B11E"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160</w:t>
            </w:r>
          </w:p>
        </w:tc>
        <w:tc>
          <w:tcPr>
            <w:tcW w:w="2268" w:type="dxa"/>
            <w:noWrap/>
            <w:vAlign w:val="center"/>
            <w:hideMark/>
          </w:tcPr>
          <w:p w14:paraId="497C9A33"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34693F"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53</w:t>
            </w:r>
          </w:p>
        </w:tc>
      </w:tr>
      <w:tr w:rsidR="007C6707" w:rsidRPr="004A636C" w14:paraId="4C5E2FEA" w14:textId="77777777" w:rsidTr="007C6707">
        <w:trPr>
          <w:trHeight w:val="300"/>
          <w:jc w:val="center"/>
        </w:trPr>
        <w:tc>
          <w:tcPr>
            <w:tcW w:w="2122" w:type="dxa"/>
            <w:noWrap/>
            <w:vAlign w:val="center"/>
            <w:hideMark/>
          </w:tcPr>
          <w:p w14:paraId="21F6E111"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165</w:t>
            </w:r>
          </w:p>
        </w:tc>
        <w:tc>
          <w:tcPr>
            <w:tcW w:w="2268" w:type="dxa"/>
            <w:noWrap/>
            <w:vAlign w:val="center"/>
            <w:hideMark/>
          </w:tcPr>
          <w:p w14:paraId="17251A2D"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69F164"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57</w:t>
            </w:r>
          </w:p>
        </w:tc>
      </w:tr>
      <w:tr w:rsidR="007C6707" w:rsidRPr="004A636C" w14:paraId="406A2169" w14:textId="77777777" w:rsidTr="007C6707">
        <w:trPr>
          <w:trHeight w:val="300"/>
          <w:jc w:val="center"/>
        </w:trPr>
        <w:tc>
          <w:tcPr>
            <w:tcW w:w="2122" w:type="dxa"/>
            <w:noWrap/>
            <w:vAlign w:val="center"/>
            <w:hideMark/>
          </w:tcPr>
          <w:p w14:paraId="546112C0"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170</w:t>
            </w:r>
          </w:p>
        </w:tc>
        <w:tc>
          <w:tcPr>
            <w:tcW w:w="2268" w:type="dxa"/>
            <w:noWrap/>
            <w:vAlign w:val="center"/>
            <w:hideMark/>
          </w:tcPr>
          <w:p w14:paraId="2B193B6C"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0978C0"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62</w:t>
            </w:r>
          </w:p>
        </w:tc>
      </w:tr>
      <w:tr w:rsidR="007C6707" w:rsidRPr="004A636C" w14:paraId="6E41692F" w14:textId="77777777" w:rsidTr="007C6707">
        <w:trPr>
          <w:trHeight w:val="300"/>
          <w:jc w:val="center"/>
        </w:trPr>
        <w:tc>
          <w:tcPr>
            <w:tcW w:w="2122" w:type="dxa"/>
            <w:noWrap/>
            <w:vAlign w:val="center"/>
            <w:hideMark/>
          </w:tcPr>
          <w:p w14:paraId="429093CF"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175</w:t>
            </w:r>
          </w:p>
        </w:tc>
        <w:tc>
          <w:tcPr>
            <w:tcW w:w="2268" w:type="dxa"/>
            <w:noWrap/>
            <w:vAlign w:val="center"/>
            <w:hideMark/>
          </w:tcPr>
          <w:p w14:paraId="3F8354CD"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71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5905D4"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66</w:t>
            </w:r>
          </w:p>
        </w:tc>
      </w:tr>
      <w:tr w:rsidR="007C6707" w:rsidRPr="004A636C" w14:paraId="08FD478B" w14:textId="77777777" w:rsidTr="007C6707">
        <w:trPr>
          <w:trHeight w:val="300"/>
          <w:jc w:val="center"/>
        </w:trPr>
        <w:tc>
          <w:tcPr>
            <w:tcW w:w="2122" w:type="dxa"/>
            <w:noWrap/>
            <w:vAlign w:val="center"/>
            <w:hideMark/>
          </w:tcPr>
          <w:p w14:paraId="5E6D21BD"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180</w:t>
            </w:r>
          </w:p>
        </w:tc>
        <w:tc>
          <w:tcPr>
            <w:tcW w:w="2268" w:type="dxa"/>
            <w:noWrap/>
            <w:vAlign w:val="center"/>
            <w:hideMark/>
          </w:tcPr>
          <w:p w14:paraId="1BB43EA2"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D380B3"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71</w:t>
            </w:r>
          </w:p>
        </w:tc>
      </w:tr>
      <w:tr w:rsidR="007C6707" w:rsidRPr="004A636C" w14:paraId="69D0D152" w14:textId="77777777" w:rsidTr="007C6707">
        <w:trPr>
          <w:trHeight w:val="300"/>
          <w:jc w:val="center"/>
        </w:trPr>
        <w:tc>
          <w:tcPr>
            <w:tcW w:w="2122" w:type="dxa"/>
            <w:noWrap/>
            <w:vAlign w:val="center"/>
            <w:hideMark/>
          </w:tcPr>
          <w:p w14:paraId="77AE645A"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185</w:t>
            </w:r>
          </w:p>
        </w:tc>
        <w:tc>
          <w:tcPr>
            <w:tcW w:w="2268" w:type="dxa"/>
            <w:noWrap/>
            <w:vAlign w:val="center"/>
            <w:hideMark/>
          </w:tcPr>
          <w:p w14:paraId="784CCE1F"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80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8C7E2A"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75</w:t>
            </w:r>
          </w:p>
        </w:tc>
      </w:tr>
      <w:tr w:rsidR="007C6707" w:rsidRPr="004A636C" w14:paraId="71F9E62C" w14:textId="77777777" w:rsidTr="007C6707">
        <w:trPr>
          <w:trHeight w:val="300"/>
          <w:jc w:val="center"/>
        </w:trPr>
        <w:tc>
          <w:tcPr>
            <w:tcW w:w="2122" w:type="dxa"/>
            <w:noWrap/>
            <w:vAlign w:val="center"/>
            <w:hideMark/>
          </w:tcPr>
          <w:p w14:paraId="0AFB1C3F"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190</w:t>
            </w:r>
          </w:p>
        </w:tc>
        <w:tc>
          <w:tcPr>
            <w:tcW w:w="2268" w:type="dxa"/>
            <w:noWrap/>
            <w:vAlign w:val="center"/>
            <w:hideMark/>
          </w:tcPr>
          <w:p w14:paraId="5E774E1D" w14:textId="77777777" w:rsidR="007C6707" w:rsidRPr="004A636C" w:rsidRDefault="007C6707" w:rsidP="007C6707">
            <w:pPr>
              <w:jc w:val="center"/>
              <w:rPr>
                <w:rFonts w:ascii="Calibri" w:hAnsi="Calibri"/>
                <w:color w:val="000000"/>
                <w:sz w:val="22"/>
                <w:szCs w:val="22"/>
                <w:lang w:eastAsia="en-AU"/>
              </w:rPr>
            </w:pPr>
            <w:r w:rsidRPr="004A636C">
              <w:rPr>
                <w:rFonts w:ascii="Calibri" w:hAnsi="Calibri"/>
                <w:color w:val="000000"/>
                <w:sz w:val="22"/>
                <w:szCs w:val="22"/>
                <w:lang w:eastAsia="en-AU"/>
              </w:rPr>
              <w:t>84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FC9557" w14:textId="77777777" w:rsidR="007C6707" w:rsidRPr="004A636C" w:rsidRDefault="007C6707" w:rsidP="007C6707">
            <w:pPr>
              <w:jc w:val="center"/>
              <w:rPr>
                <w:rFonts w:ascii="Calibri" w:hAnsi="Calibri"/>
                <w:color w:val="000000"/>
                <w:sz w:val="22"/>
                <w:szCs w:val="22"/>
                <w:lang w:eastAsia="en-AU"/>
              </w:rPr>
            </w:pPr>
            <w:r>
              <w:rPr>
                <w:rFonts w:ascii="Calibri" w:hAnsi="Calibri"/>
                <w:color w:val="000000"/>
                <w:sz w:val="22"/>
                <w:szCs w:val="22"/>
              </w:rPr>
              <w:t>80</w:t>
            </w:r>
          </w:p>
        </w:tc>
      </w:tr>
    </w:tbl>
    <w:p w14:paraId="426E440F" w14:textId="77777777" w:rsidR="007C6707" w:rsidRPr="007C6707" w:rsidRDefault="007C6707" w:rsidP="006242B2">
      <w:pPr>
        <w:rPr>
          <w:rFonts w:ascii="Calibri" w:hAnsi="Calibri"/>
          <w:szCs w:val="4"/>
        </w:rPr>
      </w:pPr>
    </w:p>
    <w:sectPr w:rsidR="007C6707" w:rsidRPr="007C6707" w:rsidSect="00B3063A">
      <w:headerReference w:type="default" r:id="rId16"/>
      <w:footerReference w:type="default" r:id="rId17"/>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8845" w14:textId="77777777" w:rsidR="00CE5172" w:rsidRDefault="00CE5172">
      <w:r>
        <w:separator/>
      </w:r>
    </w:p>
    <w:p w14:paraId="331DAE56" w14:textId="77777777" w:rsidR="00CE5172" w:rsidRDefault="00CE5172"/>
  </w:endnote>
  <w:endnote w:type="continuationSeparator" w:id="0">
    <w:p w14:paraId="21BA0FA2" w14:textId="77777777" w:rsidR="00CE5172" w:rsidRDefault="00CE5172">
      <w:r>
        <w:continuationSeparator/>
      </w:r>
    </w:p>
    <w:p w14:paraId="79F67C03" w14:textId="77777777" w:rsidR="00CE5172" w:rsidRDefault="00CE5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206"/>
      <w:gridCol w:w="1417"/>
      <w:gridCol w:w="2694"/>
      <w:gridCol w:w="1273"/>
    </w:tblGrid>
    <w:tr w:rsidR="007C6707" w:rsidRPr="007C6707" w14:paraId="331D9EB9" w14:textId="77777777" w:rsidTr="00161D7D">
      <w:tc>
        <w:tcPr>
          <w:tcW w:w="1515" w:type="dxa"/>
        </w:tcPr>
        <w:p w14:paraId="78302170"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Doc Number</w:t>
          </w:r>
        </w:p>
      </w:tc>
      <w:tc>
        <w:tcPr>
          <w:tcW w:w="965" w:type="dxa"/>
        </w:tcPr>
        <w:p w14:paraId="697FCDAE"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Version</w:t>
          </w:r>
        </w:p>
      </w:tc>
      <w:tc>
        <w:tcPr>
          <w:tcW w:w="1206" w:type="dxa"/>
        </w:tcPr>
        <w:p w14:paraId="6702801F"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Issued</w:t>
          </w:r>
        </w:p>
      </w:tc>
      <w:tc>
        <w:tcPr>
          <w:tcW w:w="1417" w:type="dxa"/>
        </w:tcPr>
        <w:p w14:paraId="65FA2563"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Review Date</w:t>
          </w:r>
        </w:p>
      </w:tc>
      <w:tc>
        <w:tcPr>
          <w:tcW w:w="2694" w:type="dxa"/>
        </w:tcPr>
        <w:p w14:paraId="48793808"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Area Responsible</w:t>
          </w:r>
        </w:p>
      </w:tc>
      <w:tc>
        <w:tcPr>
          <w:tcW w:w="1273" w:type="dxa"/>
        </w:tcPr>
        <w:p w14:paraId="6D67686A" w14:textId="77777777" w:rsidR="007C6707" w:rsidRPr="007C6707" w:rsidRDefault="007C6707" w:rsidP="007C6707">
          <w:pPr>
            <w:pStyle w:val="Footer"/>
            <w:rPr>
              <w:rFonts w:asciiTheme="minorHAnsi" w:hAnsiTheme="minorHAnsi" w:cs="Arial"/>
              <w:b/>
              <w:bCs/>
              <w:i/>
              <w:sz w:val="20"/>
            </w:rPr>
          </w:pPr>
          <w:r w:rsidRPr="007C6707">
            <w:rPr>
              <w:rFonts w:asciiTheme="minorHAnsi" w:hAnsiTheme="minorHAnsi" w:cs="Arial"/>
              <w:b/>
              <w:bCs/>
              <w:i/>
              <w:sz w:val="20"/>
            </w:rPr>
            <w:t>Page</w:t>
          </w:r>
        </w:p>
      </w:tc>
    </w:tr>
    <w:tr w:rsidR="007C6707" w:rsidRPr="007C6707" w14:paraId="4558E4BD" w14:textId="77777777" w:rsidTr="00161D7D">
      <w:tc>
        <w:tcPr>
          <w:tcW w:w="1515" w:type="dxa"/>
        </w:tcPr>
        <w:p w14:paraId="125EEE8F" w14:textId="6962F3BF" w:rsidR="007C6707" w:rsidRPr="007C6707" w:rsidRDefault="00F81D90" w:rsidP="007C6707">
          <w:pPr>
            <w:pStyle w:val="Footer"/>
            <w:rPr>
              <w:rFonts w:asciiTheme="minorHAnsi" w:hAnsiTheme="minorHAnsi" w:cs="Arial"/>
              <w:b/>
              <w:bCs/>
              <w:sz w:val="20"/>
            </w:rPr>
          </w:pPr>
          <w:r>
            <w:rPr>
              <w:rFonts w:asciiTheme="minorHAnsi" w:hAnsiTheme="minorHAnsi"/>
              <w:b/>
              <w:sz w:val="20"/>
            </w:rPr>
            <w:t>CHHS18/080</w:t>
          </w:r>
        </w:p>
      </w:tc>
      <w:tc>
        <w:tcPr>
          <w:tcW w:w="965" w:type="dxa"/>
        </w:tcPr>
        <w:p w14:paraId="5EF2A523" w14:textId="403BDD4B" w:rsidR="007C6707" w:rsidRPr="007C6707" w:rsidRDefault="00F81D90" w:rsidP="007C6707">
          <w:pPr>
            <w:pStyle w:val="Footer"/>
            <w:rPr>
              <w:rFonts w:asciiTheme="minorHAnsi" w:hAnsiTheme="minorHAnsi" w:cs="Arial"/>
              <w:b/>
              <w:bCs/>
              <w:sz w:val="20"/>
            </w:rPr>
          </w:pPr>
          <w:r>
            <w:rPr>
              <w:rFonts w:asciiTheme="minorHAnsi" w:hAnsiTheme="minorHAnsi" w:cs="Arial"/>
              <w:b/>
              <w:bCs/>
              <w:sz w:val="20"/>
            </w:rPr>
            <w:t>1</w:t>
          </w:r>
        </w:p>
      </w:tc>
      <w:tc>
        <w:tcPr>
          <w:tcW w:w="1206" w:type="dxa"/>
        </w:tcPr>
        <w:p w14:paraId="1DB60A9B" w14:textId="7DA95932" w:rsidR="007C6707" w:rsidRPr="007C6707" w:rsidRDefault="00F81D90" w:rsidP="007C6707">
          <w:pPr>
            <w:pStyle w:val="Footer"/>
            <w:rPr>
              <w:rFonts w:asciiTheme="minorHAnsi" w:hAnsiTheme="minorHAnsi" w:cs="Arial"/>
              <w:b/>
              <w:bCs/>
              <w:sz w:val="20"/>
            </w:rPr>
          </w:pPr>
          <w:r>
            <w:rPr>
              <w:rFonts w:asciiTheme="minorHAnsi" w:hAnsiTheme="minorHAnsi" w:cs="Arial"/>
              <w:b/>
              <w:bCs/>
              <w:sz w:val="20"/>
            </w:rPr>
            <w:t>07/03/2018</w:t>
          </w:r>
        </w:p>
      </w:tc>
      <w:tc>
        <w:tcPr>
          <w:tcW w:w="1417" w:type="dxa"/>
        </w:tcPr>
        <w:p w14:paraId="6BC19C72" w14:textId="182E7B82" w:rsidR="007C6707" w:rsidRPr="007C6707" w:rsidRDefault="00921204" w:rsidP="007C6707">
          <w:pPr>
            <w:pStyle w:val="Footer"/>
            <w:rPr>
              <w:rFonts w:asciiTheme="minorHAnsi" w:hAnsiTheme="minorHAnsi" w:cs="Arial"/>
              <w:b/>
              <w:bCs/>
              <w:sz w:val="20"/>
            </w:rPr>
          </w:pPr>
          <w:r>
            <w:rPr>
              <w:rFonts w:asciiTheme="minorHAnsi" w:hAnsiTheme="minorHAnsi" w:cs="Arial"/>
              <w:b/>
              <w:bCs/>
              <w:sz w:val="20"/>
            </w:rPr>
            <w:t>01/12/2021</w:t>
          </w:r>
        </w:p>
      </w:tc>
      <w:tc>
        <w:tcPr>
          <w:tcW w:w="2694" w:type="dxa"/>
        </w:tcPr>
        <w:p w14:paraId="7D9BADD5" w14:textId="7D451B47" w:rsidR="007C6707" w:rsidRPr="007C6707" w:rsidRDefault="00161D7D" w:rsidP="007C6707">
          <w:pPr>
            <w:pStyle w:val="Footer"/>
            <w:rPr>
              <w:rFonts w:asciiTheme="minorHAnsi" w:hAnsiTheme="minorHAnsi" w:cs="Arial"/>
              <w:b/>
              <w:bCs/>
              <w:sz w:val="20"/>
            </w:rPr>
          </w:pPr>
          <w:r>
            <w:rPr>
              <w:rFonts w:asciiTheme="minorHAnsi" w:hAnsiTheme="minorHAnsi" w:cs="Arial"/>
              <w:b/>
              <w:bCs/>
              <w:sz w:val="20"/>
            </w:rPr>
            <w:t>Medical Services</w:t>
          </w:r>
          <w:r w:rsidR="00F81D90">
            <w:rPr>
              <w:rFonts w:asciiTheme="minorHAnsi" w:hAnsiTheme="minorHAnsi" w:cs="Arial"/>
              <w:b/>
              <w:bCs/>
              <w:sz w:val="20"/>
            </w:rPr>
            <w:t xml:space="preserve"> - Pharmacy</w:t>
          </w:r>
        </w:p>
      </w:tc>
      <w:tc>
        <w:tcPr>
          <w:tcW w:w="1273" w:type="dxa"/>
        </w:tcPr>
        <w:p w14:paraId="5868BE49" w14:textId="77777777" w:rsidR="007C6707" w:rsidRPr="007C6707" w:rsidRDefault="007C6707" w:rsidP="007C6707">
          <w:pPr>
            <w:pStyle w:val="Footer"/>
            <w:rPr>
              <w:rFonts w:asciiTheme="minorHAnsi" w:hAnsiTheme="minorHAnsi"/>
              <w:sz w:val="20"/>
            </w:rPr>
          </w:pPr>
          <w:r w:rsidRPr="007C6707">
            <w:rPr>
              <w:rStyle w:val="PageNumber"/>
              <w:rFonts w:asciiTheme="minorHAnsi" w:hAnsiTheme="minorHAnsi"/>
              <w:sz w:val="20"/>
            </w:rPr>
            <w:fldChar w:fldCharType="begin"/>
          </w:r>
          <w:r w:rsidRPr="007C6707">
            <w:rPr>
              <w:rStyle w:val="PageNumber"/>
              <w:rFonts w:asciiTheme="minorHAnsi" w:hAnsiTheme="minorHAnsi"/>
              <w:sz w:val="20"/>
            </w:rPr>
            <w:instrText xml:space="preserve"> PAGE </w:instrText>
          </w:r>
          <w:r w:rsidRPr="007C6707">
            <w:rPr>
              <w:rStyle w:val="PageNumber"/>
              <w:rFonts w:asciiTheme="minorHAnsi" w:hAnsiTheme="minorHAnsi"/>
              <w:sz w:val="20"/>
            </w:rPr>
            <w:fldChar w:fldCharType="separate"/>
          </w:r>
          <w:r w:rsidR="00A82FA8">
            <w:rPr>
              <w:rStyle w:val="PageNumber"/>
              <w:rFonts w:asciiTheme="minorHAnsi" w:hAnsiTheme="minorHAnsi"/>
              <w:noProof/>
              <w:sz w:val="20"/>
            </w:rPr>
            <w:t>12</w:t>
          </w:r>
          <w:r w:rsidRPr="007C6707">
            <w:rPr>
              <w:rStyle w:val="PageNumber"/>
              <w:rFonts w:asciiTheme="minorHAnsi" w:hAnsiTheme="minorHAnsi"/>
              <w:sz w:val="20"/>
            </w:rPr>
            <w:fldChar w:fldCharType="end"/>
          </w:r>
          <w:r w:rsidRPr="007C6707">
            <w:rPr>
              <w:rStyle w:val="PageNumber"/>
              <w:rFonts w:asciiTheme="minorHAnsi" w:hAnsiTheme="minorHAnsi"/>
              <w:sz w:val="20"/>
            </w:rPr>
            <w:t xml:space="preserve"> of </w:t>
          </w:r>
          <w:r w:rsidRPr="007C6707">
            <w:rPr>
              <w:rStyle w:val="PageNumber"/>
              <w:rFonts w:asciiTheme="minorHAnsi" w:hAnsiTheme="minorHAnsi"/>
              <w:sz w:val="20"/>
            </w:rPr>
            <w:fldChar w:fldCharType="begin"/>
          </w:r>
          <w:r w:rsidRPr="007C6707">
            <w:rPr>
              <w:rStyle w:val="PageNumber"/>
              <w:rFonts w:asciiTheme="minorHAnsi" w:hAnsiTheme="minorHAnsi"/>
              <w:sz w:val="20"/>
            </w:rPr>
            <w:instrText xml:space="preserve"> NUMPAGES </w:instrText>
          </w:r>
          <w:r w:rsidRPr="007C6707">
            <w:rPr>
              <w:rStyle w:val="PageNumber"/>
              <w:rFonts w:asciiTheme="minorHAnsi" w:hAnsiTheme="minorHAnsi"/>
              <w:sz w:val="20"/>
            </w:rPr>
            <w:fldChar w:fldCharType="separate"/>
          </w:r>
          <w:r w:rsidR="00A82FA8">
            <w:rPr>
              <w:rStyle w:val="PageNumber"/>
              <w:rFonts w:asciiTheme="minorHAnsi" w:hAnsiTheme="minorHAnsi"/>
              <w:noProof/>
              <w:sz w:val="20"/>
            </w:rPr>
            <w:t>14</w:t>
          </w:r>
          <w:r w:rsidRPr="007C6707">
            <w:rPr>
              <w:rStyle w:val="PageNumber"/>
              <w:rFonts w:asciiTheme="minorHAnsi" w:hAnsiTheme="minorHAnsi"/>
              <w:sz w:val="20"/>
            </w:rPr>
            <w:fldChar w:fldCharType="end"/>
          </w:r>
        </w:p>
      </w:tc>
    </w:tr>
    <w:tr w:rsidR="007C6707" w:rsidRPr="007C6707" w14:paraId="45D8935E" w14:textId="77777777" w:rsidTr="007C6707">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7E4C07EA" w14:textId="308C4373" w:rsidR="007C6707" w:rsidRPr="007C6707" w:rsidRDefault="007C6707" w:rsidP="007C6707">
          <w:pPr>
            <w:pStyle w:val="Footer"/>
            <w:jc w:val="center"/>
            <w:rPr>
              <w:rStyle w:val="PageNumber"/>
              <w:rFonts w:asciiTheme="minorHAnsi" w:hAnsiTheme="minorHAnsi"/>
            </w:rPr>
          </w:pPr>
          <w:r w:rsidRPr="007C6707">
            <w:rPr>
              <w:rFonts w:asciiTheme="minorHAnsi" w:hAnsiTheme="minorHAnsi"/>
              <w:sz w:val="16"/>
              <w:szCs w:val="16"/>
            </w:rPr>
            <w:t xml:space="preserve">Do not refer to a paper based copy of this policy document. The most current version can be found on the </w:t>
          </w:r>
          <w:r w:rsidR="00161D7D">
            <w:rPr>
              <w:rFonts w:asciiTheme="minorHAnsi" w:hAnsiTheme="minorHAnsi"/>
              <w:sz w:val="16"/>
              <w:szCs w:val="16"/>
            </w:rPr>
            <w:t>CHS</w:t>
          </w:r>
          <w:r w:rsidRPr="007C6707">
            <w:rPr>
              <w:rFonts w:asciiTheme="minorHAnsi" w:hAnsiTheme="minorHAnsi"/>
              <w:sz w:val="16"/>
              <w:szCs w:val="16"/>
            </w:rPr>
            <w:t xml:space="preserve"> Policy Register</w:t>
          </w:r>
        </w:p>
      </w:tc>
    </w:tr>
  </w:tbl>
  <w:p w14:paraId="51597DA1" w14:textId="77777777" w:rsidR="007C6707" w:rsidRDefault="007C6707" w:rsidP="005A2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615F" w14:textId="77777777" w:rsidR="00CE5172" w:rsidRDefault="00CE5172">
      <w:r>
        <w:separator/>
      </w:r>
    </w:p>
    <w:p w14:paraId="6FFC5A64" w14:textId="77777777" w:rsidR="00CE5172" w:rsidRDefault="00CE5172"/>
  </w:footnote>
  <w:footnote w:type="continuationSeparator" w:id="0">
    <w:p w14:paraId="7C7C5242" w14:textId="77777777" w:rsidR="00CE5172" w:rsidRDefault="00CE5172">
      <w:r>
        <w:continuationSeparator/>
      </w:r>
    </w:p>
    <w:p w14:paraId="486C9F6B" w14:textId="77777777" w:rsidR="00CE5172" w:rsidRDefault="00CE5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7C6707" w14:paraId="051A866C" w14:textId="77777777" w:rsidTr="007C6707">
      <w:trPr>
        <w:trHeight w:val="1418"/>
      </w:trPr>
      <w:tc>
        <w:tcPr>
          <w:tcW w:w="5556" w:type="dxa"/>
          <w:vAlign w:val="center"/>
        </w:tcPr>
        <w:p w14:paraId="58207442" w14:textId="073E218A" w:rsidR="007C6707" w:rsidRPr="00EF02B0" w:rsidRDefault="00161D7D" w:rsidP="007C6707">
          <w:pPr>
            <w:pStyle w:val="Header"/>
            <w:rPr>
              <w:sz w:val="20"/>
            </w:rPr>
          </w:pPr>
          <w:r>
            <w:rPr>
              <w:noProof/>
              <w:sz w:val="20"/>
            </w:rPr>
            <w:drawing>
              <wp:inline distT="0" distB="0" distL="0" distR="0" wp14:anchorId="75995E4E" wp14:editId="17C3D8DD">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tcPr>
        <w:p w14:paraId="7018DE71" w14:textId="33C8EACD" w:rsidR="007C6707" w:rsidRPr="007C6707" w:rsidRDefault="00F81D90" w:rsidP="007C6707">
          <w:pPr>
            <w:pStyle w:val="Header"/>
            <w:tabs>
              <w:tab w:val="clear" w:pos="4153"/>
              <w:tab w:val="clear" w:pos="8306"/>
            </w:tabs>
            <w:jc w:val="right"/>
            <w:rPr>
              <w:rFonts w:asciiTheme="minorHAnsi" w:hAnsiTheme="minorHAnsi"/>
              <w:sz w:val="20"/>
            </w:rPr>
          </w:pPr>
          <w:bookmarkStart w:id="41" w:name="_top"/>
          <w:bookmarkEnd w:id="41"/>
          <w:r>
            <w:rPr>
              <w:rFonts w:asciiTheme="minorHAnsi" w:hAnsiTheme="minorHAnsi"/>
              <w:sz w:val="20"/>
            </w:rPr>
            <w:t>CHHS18/080</w:t>
          </w:r>
        </w:p>
      </w:tc>
    </w:tr>
  </w:tbl>
  <w:p w14:paraId="2DD205CA" w14:textId="77777777" w:rsidR="007C6707" w:rsidRPr="007C6707" w:rsidRDefault="007C6707" w:rsidP="007C6707">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9BE"/>
    <w:multiLevelType w:val="hybridMultilevel"/>
    <w:tmpl w:val="6E8674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83371"/>
    <w:multiLevelType w:val="hybridMultilevel"/>
    <w:tmpl w:val="D4961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04E32"/>
    <w:multiLevelType w:val="hybridMultilevel"/>
    <w:tmpl w:val="4432AC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FB790D"/>
    <w:multiLevelType w:val="hybridMultilevel"/>
    <w:tmpl w:val="5770C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6B45F7"/>
    <w:multiLevelType w:val="hybridMultilevel"/>
    <w:tmpl w:val="8464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4A40E28">
      <w:start w:val="50"/>
      <w:numFmt w:val="bullet"/>
      <w:lvlText w:val="-"/>
      <w:lvlJc w:val="left"/>
      <w:pPr>
        <w:ind w:left="2160" w:hanging="360"/>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F6CC0"/>
    <w:multiLevelType w:val="hybridMultilevel"/>
    <w:tmpl w:val="C032F6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F578B"/>
    <w:multiLevelType w:val="hybridMultilevel"/>
    <w:tmpl w:val="6ECA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26E35"/>
    <w:multiLevelType w:val="hybridMultilevel"/>
    <w:tmpl w:val="885CD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5941EC"/>
    <w:multiLevelType w:val="hybridMultilevel"/>
    <w:tmpl w:val="64A69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650525"/>
    <w:multiLevelType w:val="hybridMultilevel"/>
    <w:tmpl w:val="48A8A9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224F54"/>
    <w:multiLevelType w:val="hybridMultilevel"/>
    <w:tmpl w:val="14207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483076"/>
    <w:multiLevelType w:val="hybridMultilevel"/>
    <w:tmpl w:val="A5CE7F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D14A83"/>
    <w:multiLevelType w:val="hybridMultilevel"/>
    <w:tmpl w:val="0658C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32CC3"/>
    <w:multiLevelType w:val="hybridMultilevel"/>
    <w:tmpl w:val="FAF4EC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B3123F"/>
    <w:multiLevelType w:val="hybridMultilevel"/>
    <w:tmpl w:val="704EC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3E06FE"/>
    <w:multiLevelType w:val="hybridMultilevel"/>
    <w:tmpl w:val="B7F6C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69224F"/>
    <w:multiLevelType w:val="hybridMultilevel"/>
    <w:tmpl w:val="AF78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95D11"/>
    <w:multiLevelType w:val="hybridMultilevel"/>
    <w:tmpl w:val="5134CC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A2C6C"/>
    <w:multiLevelType w:val="hybridMultilevel"/>
    <w:tmpl w:val="ABAA20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8E77C4"/>
    <w:multiLevelType w:val="hybridMultilevel"/>
    <w:tmpl w:val="E6D05A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26AE1"/>
    <w:multiLevelType w:val="hybridMultilevel"/>
    <w:tmpl w:val="4A8C5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8855FB"/>
    <w:multiLevelType w:val="hybridMultilevel"/>
    <w:tmpl w:val="8CA6445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FB411A"/>
    <w:multiLevelType w:val="hybridMultilevel"/>
    <w:tmpl w:val="9C3E74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1F0951"/>
    <w:multiLevelType w:val="hybridMultilevel"/>
    <w:tmpl w:val="47087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0A144C"/>
    <w:multiLevelType w:val="hybridMultilevel"/>
    <w:tmpl w:val="CE7E36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565EF2"/>
    <w:multiLevelType w:val="hybridMultilevel"/>
    <w:tmpl w:val="A8683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F699E"/>
    <w:multiLevelType w:val="hybridMultilevel"/>
    <w:tmpl w:val="49046D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EB3A01"/>
    <w:multiLevelType w:val="hybridMultilevel"/>
    <w:tmpl w:val="644C1C9C"/>
    <w:lvl w:ilvl="0" w:tplc="FE4A0F94">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CB6763"/>
    <w:multiLevelType w:val="hybridMultilevel"/>
    <w:tmpl w:val="7C30D448"/>
    <w:lvl w:ilvl="0" w:tplc="8D2EBFCC">
      <w:start w:val="1"/>
      <w:numFmt w:val="upperLetter"/>
      <w:pStyle w:val="Heading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62236"/>
    <w:multiLevelType w:val="hybridMultilevel"/>
    <w:tmpl w:val="6592E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5F478A"/>
    <w:multiLevelType w:val="hybridMultilevel"/>
    <w:tmpl w:val="9160BC7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1" w15:restartNumberingAfterBreak="0">
    <w:nsid w:val="7EFA1E4A"/>
    <w:multiLevelType w:val="hybridMultilevel"/>
    <w:tmpl w:val="82766A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13"/>
  </w:num>
  <w:num w:numId="4">
    <w:abstractNumId w:val="28"/>
  </w:num>
  <w:num w:numId="5">
    <w:abstractNumId w:val="25"/>
  </w:num>
  <w:num w:numId="6">
    <w:abstractNumId w:val="12"/>
  </w:num>
  <w:num w:numId="7">
    <w:abstractNumId w:val="4"/>
  </w:num>
  <w:num w:numId="8">
    <w:abstractNumId w:val="1"/>
  </w:num>
  <w:num w:numId="9">
    <w:abstractNumId w:val="21"/>
  </w:num>
  <w:num w:numId="10">
    <w:abstractNumId w:val="9"/>
  </w:num>
  <w:num w:numId="11">
    <w:abstractNumId w:val="20"/>
  </w:num>
  <w:num w:numId="12">
    <w:abstractNumId w:val="24"/>
  </w:num>
  <w:num w:numId="13">
    <w:abstractNumId w:val="30"/>
  </w:num>
  <w:num w:numId="14">
    <w:abstractNumId w:val="8"/>
  </w:num>
  <w:num w:numId="15">
    <w:abstractNumId w:val="29"/>
  </w:num>
  <w:num w:numId="16">
    <w:abstractNumId w:val="2"/>
  </w:num>
  <w:num w:numId="17">
    <w:abstractNumId w:val="18"/>
  </w:num>
  <w:num w:numId="18">
    <w:abstractNumId w:val="31"/>
  </w:num>
  <w:num w:numId="19">
    <w:abstractNumId w:val="10"/>
  </w:num>
  <w:num w:numId="20">
    <w:abstractNumId w:val="7"/>
  </w:num>
  <w:num w:numId="21">
    <w:abstractNumId w:val="11"/>
  </w:num>
  <w:num w:numId="22">
    <w:abstractNumId w:val="23"/>
  </w:num>
  <w:num w:numId="23">
    <w:abstractNumId w:val="15"/>
  </w:num>
  <w:num w:numId="24">
    <w:abstractNumId w:val="3"/>
  </w:num>
  <w:num w:numId="25">
    <w:abstractNumId w:val="16"/>
  </w:num>
  <w:num w:numId="26">
    <w:abstractNumId w:val="5"/>
  </w:num>
  <w:num w:numId="27">
    <w:abstractNumId w:val="22"/>
  </w:num>
  <w:num w:numId="28">
    <w:abstractNumId w:val="14"/>
  </w:num>
  <w:num w:numId="29">
    <w:abstractNumId w:val="19"/>
  </w:num>
  <w:num w:numId="30">
    <w:abstractNumId w:val="17"/>
  </w:num>
  <w:num w:numId="31">
    <w:abstractNumId w:val="26"/>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85"/>
    <w:rsid w:val="000179D1"/>
    <w:rsid w:val="00032890"/>
    <w:rsid w:val="000352BF"/>
    <w:rsid w:val="00037EB6"/>
    <w:rsid w:val="00053FBB"/>
    <w:rsid w:val="00063E8C"/>
    <w:rsid w:val="00065F8D"/>
    <w:rsid w:val="00075B85"/>
    <w:rsid w:val="000A0891"/>
    <w:rsid w:val="000E2C8C"/>
    <w:rsid w:val="000E653A"/>
    <w:rsid w:val="00106B34"/>
    <w:rsid w:val="00125E74"/>
    <w:rsid w:val="00142B15"/>
    <w:rsid w:val="00144CD9"/>
    <w:rsid w:val="0014699D"/>
    <w:rsid w:val="001502DF"/>
    <w:rsid w:val="00154197"/>
    <w:rsid w:val="00157BBA"/>
    <w:rsid w:val="00161D7D"/>
    <w:rsid w:val="00180520"/>
    <w:rsid w:val="00181A6A"/>
    <w:rsid w:val="001A6C6E"/>
    <w:rsid w:val="001B2BAC"/>
    <w:rsid w:val="001C3601"/>
    <w:rsid w:val="001F22C7"/>
    <w:rsid w:val="001F70FA"/>
    <w:rsid w:val="00204674"/>
    <w:rsid w:val="002061C7"/>
    <w:rsid w:val="00240EE4"/>
    <w:rsid w:val="00241942"/>
    <w:rsid w:val="00244945"/>
    <w:rsid w:val="00257783"/>
    <w:rsid w:val="00297D70"/>
    <w:rsid w:val="002A0ADA"/>
    <w:rsid w:val="002A7545"/>
    <w:rsid w:val="002A7B53"/>
    <w:rsid w:val="002B2FD7"/>
    <w:rsid w:val="002C2F40"/>
    <w:rsid w:val="002C7B2B"/>
    <w:rsid w:val="002D3962"/>
    <w:rsid w:val="003204E6"/>
    <w:rsid w:val="003265A5"/>
    <w:rsid w:val="00327384"/>
    <w:rsid w:val="003301E9"/>
    <w:rsid w:val="003366C3"/>
    <w:rsid w:val="00346515"/>
    <w:rsid w:val="00365F0F"/>
    <w:rsid w:val="00366053"/>
    <w:rsid w:val="00374B48"/>
    <w:rsid w:val="003A1069"/>
    <w:rsid w:val="003D03B8"/>
    <w:rsid w:val="003D238A"/>
    <w:rsid w:val="003E3941"/>
    <w:rsid w:val="003E3A29"/>
    <w:rsid w:val="003E5853"/>
    <w:rsid w:val="003E6548"/>
    <w:rsid w:val="003F2A58"/>
    <w:rsid w:val="003F423C"/>
    <w:rsid w:val="004070B8"/>
    <w:rsid w:val="004203CC"/>
    <w:rsid w:val="0043109A"/>
    <w:rsid w:val="004340DD"/>
    <w:rsid w:val="00434D90"/>
    <w:rsid w:val="0043676D"/>
    <w:rsid w:val="004401F4"/>
    <w:rsid w:val="00445687"/>
    <w:rsid w:val="004458B9"/>
    <w:rsid w:val="004600AD"/>
    <w:rsid w:val="00464610"/>
    <w:rsid w:val="00497DF9"/>
    <w:rsid w:val="004A636C"/>
    <w:rsid w:val="004C2E75"/>
    <w:rsid w:val="004D6067"/>
    <w:rsid w:val="004E7658"/>
    <w:rsid w:val="004F333E"/>
    <w:rsid w:val="00500046"/>
    <w:rsid w:val="0050780F"/>
    <w:rsid w:val="00521CC1"/>
    <w:rsid w:val="005255B1"/>
    <w:rsid w:val="00526981"/>
    <w:rsid w:val="005360AA"/>
    <w:rsid w:val="00541FC9"/>
    <w:rsid w:val="005421E4"/>
    <w:rsid w:val="00590664"/>
    <w:rsid w:val="005914D3"/>
    <w:rsid w:val="005A2A5C"/>
    <w:rsid w:val="005B2212"/>
    <w:rsid w:val="005B4087"/>
    <w:rsid w:val="005C07D4"/>
    <w:rsid w:val="005D33A1"/>
    <w:rsid w:val="005D7AB2"/>
    <w:rsid w:val="005E5179"/>
    <w:rsid w:val="005F264F"/>
    <w:rsid w:val="005F3D2B"/>
    <w:rsid w:val="006019FE"/>
    <w:rsid w:val="00601C5B"/>
    <w:rsid w:val="00604990"/>
    <w:rsid w:val="006144D6"/>
    <w:rsid w:val="00617B64"/>
    <w:rsid w:val="006242B2"/>
    <w:rsid w:val="00633AC5"/>
    <w:rsid w:val="006379ED"/>
    <w:rsid w:val="006462F8"/>
    <w:rsid w:val="0066481B"/>
    <w:rsid w:val="00677091"/>
    <w:rsid w:val="006A10D1"/>
    <w:rsid w:val="006A3777"/>
    <w:rsid w:val="006C27E4"/>
    <w:rsid w:val="006D264C"/>
    <w:rsid w:val="006E05B5"/>
    <w:rsid w:val="006F2C41"/>
    <w:rsid w:val="00701EE1"/>
    <w:rsid w:val="00712C9A"/>
    <w:rsid w:val="007139E0"/>
    <w:rsid w:val="007219E4"/>
    <w:rsid w:val="00725078"/>
    <w:rsid w:val="00730010"/>
    <w:rsid w:val="0074083A"/>
    <w:rsid w:val="00751978"/>
    <w:rsid w:val="007537B5"/>
    <w:rsid w:val="00770F20"/>
    <w:rsid w:val="00783176"/>
    <w:rsid w:val="0078539E"/>
    <w:rsid w:val="007A1F76"/>
    <w:rsid w:val="007B4990"/>
    <w:rsid w:val="007C0522"/>
    <w:rsid w:val="007C0ABC"/>
    <w:rsid w:val="007C6707"/>
    <w:rsid w:val="007D4CEC"/>
    <w:rsid w:val="007E3120"/>
    <w:rsid w:val="007F329C"/>
    <w:rsid w:val="00803496"/>
    <w:rsid w:val="0081571E"/>
    <w:rsid w:val="00844159"/>
    <w:rsid w:val="00844386"/>
    <w:rsid w:val="00860A05"/>
    <w:rsid w:val="00873207"/>
    <w:rsid w:val="008741DB"/>
    <w:rsid w:val="00891AC8"/>
    <w:rsid w:val="00893CC7"/>
    <w:rsid w:val="00894109"/>
    <w:rsid w:val="008A2ECD"/>
    <w:rsid w:val="008B01CA"/>
    <w:rsid w:val="008C75F1"/>
    <w:rsid w:val="008D2E2A"/>
    <w:rsid w:val="008F1419"/>
    <w:rsid w:val="008F4B04"/>
    <w:rsid w:val="00903851"/>
    <w:rsid w:val="00910CE5"/>
    <w:rsid w:val="00913BF1"/>
    <w:rsid w:val="00921204"/>
    <w:rsid w:val="00926248"/>
    <w:rsid w:val="00940B9A"/>
    <w:rsid w:val="009568D4"/>
    <w:rsid w:val="009702F9"/>
    <w:rsid w:val="0097393E"/>
    <w:rsid w:val="009741E6"/>
    <w:rsid w:val="009812C3"/>
    <w:rsid w:val="009836AC"/>
    <w:rsid w:val="009942CB"/>
    <w:rsid w:val="009A5ACE"/>
    <w:rsid w:val="009A5D77"/>
    <w:rsid w:val="009A6FA4"/>
    <w:rsid w:val="009B1289"/>
    <w:rsid w:val="009B3385"/>
    <w:rsid w:val="009C27BC"/>
    <w:rsid w:val="009E27C4"/>
    <w:rsid w:val="009E4D54"/>
    <w:rsid w:val="009F52CA"/>
    <w:rsid w:val="00A00792"/>
    <w:rsid w:val="00A010EC"/>
    <w:rsid w:val="00A020AB"/>
    <w:rsid w:val="00A16939"/>
    <w:rsid w:val="00A356EE"/>
    <w:rsid w:val="00A53CB8"/>
    <w:rsid w:val="00A71C2C"/>
    <w:rsid w:val="00A76D80"/>
    <w:rsid w:val="00A82FA8"/>
    <w:rsid w:val="00A84182"/>
    <w:rsid w:val="00AA14D1"/>
    <w:rsid w:val="00AB1498"/>
    <w:rsid w:val="00AB1530"/>
    <w:rsid w:val="00AB507B"/>
    <w:rsid w:val="00AC701D"/>
    <w:rsid w:val="00AE4ACD"/>
    <w:rsid w:val="00AE5284"/>
    <w:rsid w:val="00AE6A78"/>
    <w:rsid w:val="00AE7C5C"/>
    <w:rsid w:val="00AF50CB"/>
    <w:rsid w:val="00B02C03"/>
    <w:rsid w:val="00B14633"/>
    <w:rsid w:val="00B16FC3"/>
    <w:rsid w:val="00B3063A"/>
    <w:rsid w:val="00B34A99"/>
    <w:rsid w:val="00B42F61"/>
    <w:rsid w:val="00B43AF5"/>
    <w:rsid w:val="00B528A6"/>
    <w:rsid w:val="00B7271C"/>
    <w:rsid w:val="00B738A0"/>
    <w:rsid w:val="00B75F94"/>
    <w:rsid w:val="00B87570"/>
    <w:rsid w:val="00BA73FC"/>
    <w:rsid w:val="00BB4752"/>
    <w:rsid w:val="00C0477A"/>
    <w:rsid w:val="00C05234"/>
    <w:rsid w:val="00C20994"/>
    <w:rsid w:val="00C2755F"/>
    <w:rsid w:val="00C4653F"/>
    <w:rsid w:val="00C508AC"/>
    <w:rsid w:val="00C51D2D"/>
    <w:rsid w:val="00C52D49"/>
    <w:rsid w:val="00C663DD"/>
    <w:rsid w:val="00C7565F"/>
    <w:rsid w:val="00C77986"/>
    <w:rsid w:val="00C80133"/>
    <w:rsid w:val="00C81482"/>
    <w:rsid w:val="00C83225"/>
    <w:rsid w:val="00C921DD"/>
    <w:rsid w:val="00CA6AFE"/>
    <w:rsid w:val="00CB0CCE"/>
    <w:rsid w:val="00CC706F"/>
    <w:rsid w:val="00CD3654"/>
    <w:rsid w:val="00CD36D9"/>
    <w:rsid w:val="00CE120D"/>
    <w:rsid w:val="00CE4D03"/>
    <w:rsid w:val="00CE5172"/>
    <w:rsid w:val="00CE65EF"/>
    <w:rsid w:val="00D07169"/>
    <w:rsid w:val="00D14275"/>
    <w:rsid w:val="00D150D3"/>
    <w:rsid w:val="00D21754"/>
    <w:rsid w:val="00D30BB8"/>
    <w:rsid w:val="00D374A6"/>
    <w:rsid w:val="00D441C8"/>
    <w:rsid w:val="00D44497"/>
    <w:rsid w:val="00D82756"/>
    <w:rsid w:val="00D86B21"/>
    <w:rsid w:val="00D906A5"/>
    <w:rsid w:val="00DB410F"/>
    <w:rsid w:val="00DC660A"/>
    <w:rsid w:val="00DC6C5C"/>
    <w:rsid w:val="00E03350"/>
    <w:rsid w:val="00E15C4B"/>
    <w:rsid w:val="00E16066"/>
    <w:rsid w:val="00E37B9E"/>
    <w:rsid w:val="00E45B65"/>
    <w:rsid w:val="00E54532"/>
    <w:rsid w:val="00E7197A"/>
    <w:rsid w:val="00E71D1C"/>
    <w:rsid w:val="00E769F8"/>
    <w:rsid w:val="00E84F89"/>
    <w:rsid w:val="00EB5A5B"/>
    <w:rsid w:val="00ED6578"/>
    <w:rsid w:val="00EE4617"/>
    <w:rsid w:val="00EF024B"/>
    <w:rsid w:val="00EF784F"/>
    <w:rsid w:val="00F114E8"/>
    <w:rsid w:val="00F167D4"/>
    <w:rsid w:val="00F472E6"/>
    <w:rsid w:val="00F47C0F"/>
    <w:rsid w:val="00F509B2"/>
    <w:rsid w:val="00F50FF6"/>
    <w:rsid w:val="00F5479B"/>
    <w:rsid w:val="00F574F2"/>
    <w:rsid w:val="00F64CD5"/>
    <w:rsid w:val="00F64FFA"/>
    <w:rsid w:val="00F7058E"/>
    <w:rsid w:val="00F81348"/>
    <w:rsid w:val="00F81D90"/>
    <w:rsid w:val="00F82DA0"/>
    <w:rsid w:val="00F90ED2"/>
    <w:rsid w:val="00F93799"/>
    <w:rsid w:val="00FB53D9"/>
    <w:rsid w:val="00FC0E06"/>
    <w:rsid w:val="00FC3538"/>
    <w:rsid w:val="00FC4CC8"/>
    <w:rsid w:val="00FC5675"/>
    <w:rsid w:val="00FD7972"/>
    <w:rsid w:val="00FE7F55"/>
    <w:rsid w:val="00FF0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9ED"/>
    <w:rPr>
      <w:sz w:val="24"/>
      <w:lang w:eastAsia="en-US"/>
    </w:rPr>
  </w:style>
  <w:style w:type="paragraph" w:styleId="Heading1">
    <w:name w:val="heading 1"/>
    <w:basedOn w:val="Normal"/>
    <w:next w:val="Normal"/>
    <w:link w:val="Heading1Char"/>
    <w:qFormat/>
    <w:rsid w:val="007C6707"/>
    <w:pPr>
      <w:keepNext/>
      <w:keepLines/>
      <w:framePr w:hSpace="180" w:wrap="around" w:vAnchor="text" w:hAnchor="margin" w:x="108" w:y="181"/>
      <w:tabs>
        <w:tab w:val="center" w:pos="4471"/>
      </w:tabs>
      <w:spacing w:before="60" w:after="6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7C6707"/>
    <w:pPr>
      <w:keepNext/>
      <w:outlineLvl w:val="1"/>
    </w:pPr>
    <w:rPr>
      <w:rFonts w:ascii="Calibri" w:hAnsi="Calibri"/>
      <w:b/>
      <w:bCs/>
      <w:iCs/>
      <w:szCs w:val="24"/>
    </w:rPr>
  </w:style>
  <w:style w:type="paragraph" w:styleId="Heading3">
    <w:name w:val="heading 3"/>
    <w:basedOn w:val="Normal"/>
    <w:next w:val="Normal"/>
    <w:link w:val="Heading3Char"/>
    <w:qFormat/>
    <w:rsid w:val="007C6707"/>
    <w:pPr>
      <w:keepNext/>
      <w:keepLines/>
      <w:outlineLvl w:val="2"/>
    </w:pPr>
    <w:rPr>
      <w:rFonts w:ascii="Calibri" w:eastAsiaTheme="majorEastAsia" w:hAnsi="Calibri" w:cstheme="majorBidi"/>
      <w:i/>
      <w:szCs w:val="24"/>
    </w:rPr>
  </w:style>
  <w:style w:type="paragraph" w:styleId="Heading5">
    <w:name w:val="heading 5"/>
    <w:basedOn w:val="Normal"/>
    <w:next w:val="Normal"/>
    <w:link w:val="Heading5Char"/>
    <w:qFormat/>
    <w:rsid w:val="00F5479B"/>
    <w:pPr>
      <w:keepNext/>
      <w:numPr>
        <w:numId w:val="4"/>
      </w:numP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styleId="PageNumber">
    <w:name w:val="page number"/>
    <w:basedOn w:val="DefaultParagraphFont"/>
    <w:uiPriority w:val="99"/>
    <w:rsid w:val="009B3385"/>
  </w:style>
  <w:style w:type="paragraph" w:styleId="Header">
    <w:name w:val="header"/>
    <w:basedOn w:val="Normal"/>
    <w:link w:val="HeaderChar"/>
    <w:rsid w:val="009B3385"/>
    <w:pPr>
      <w:tabs>
        <w:tab w:val="center" w:pos="4153"/>
        <w:tab w:val="right" w:pos="8306"/>
      </w:tabs>
    </w:pPr>
  </w:style>
  <w:style w:type="character" w:styleId="CommentReference">
    <w:name w:val="annotation reference"/>
    <w:basedOn w:val="DefaultParagraphFont"/>
    <w:semiHidden/>
    <w:rsid w:val="00C80133"/>
    <w:rPr>
      <w:sz w:val="16"/>
      <w:szCs w:val="16"/>
    </w:rPr>
  </w:style>
  <w:style w:type="paragraph" w:styleId="CommentText">
    <w:name w:val="annotation text"/>
    <w:basedOn w:val="Normal"/>
    <w:link w:val="CommentTextChar"/>
    <w:semiHidden/>
    <w:rsid w:val="00C80133"/>
    <w:rPr>
      <w:sz w:val="20"/>
    </w:rPr>
  </w:style>
  <w:style w:type="paragraph" w:styleId="CommentSubject">
    <w:name w:val="annotation subject"/>
    <w:basedOn w:val="CommentText"/>
    <w:next w:val="CommentText"/>
    <w:semiHidden/>
    <w:rsid w:val="00C80133"/>
    <w:rPr>
      <w:b/>
      <w:bCs/>
    </w:rPr>
  </w:style>
  <w:style w:type="paragraph" w:styleId="BalloonText">
    <w:name w:val="Balloon Text"/>
    <w:basedOn w:val="Normal"/>
    <w:semiHidden/>
    <w:rsid w:val="00C80133"/>
    <w:rPr>
      <w:rFonts w:ascii="Tahoma" w:hAnsi="Tahoma" w:cs="Tahoma"/>
      <w:sz w:val="16"/>
      <w:szCs w:val="16"/>
    </w:rPr>
  </w:style>
  <w:style w:type="character" w:customStyle="1" w:styleId="FooterChar">
    <w:name w:val="Footer Char"/>
    <w:basedOn w:val="DefaultParagraphFont"/>
    <w:link w:val="Footer"/>
    <w:uiPriority w:val="99"/>
    <w:rsid w:val="007C0522"/>
    <w:rPr>
      <w:sz w:val="24"/>
      <w:lang w:eastAsia="en-US"/>
    </w:rPr>
  </w:style>
  <w:style w:type="paragraph" w:styleId="ListParagraph">
    <w:name w:val="List Paragraph"/>
    <w:basedOn w:val="Normal"/>
    <w:uiPriority w:val="34"/>
    <w:qFormat/>
    <w:rsid w:val="00142B15"/>
    <w:pPr>
      <w:ind w:left="720"/>
      <w:contextualSpacing/>
    </w:pPr>
  </w:style>
  <w:style w:type="paragraph" w:styleId="BodyText2">
    <w:name w:val="Body Text 2"/>
    <w:basedOn w:val="Normal"/>
    <w:link w:val="BodyText2Char"/>
    <w:rsid w:val="00677091"/>
    <w:rPr>
      <w:rFonts w:ascii="Arial" w:hAnsi="Arial" w:cs="Arial"/>
      <w:sz w:val="20"/>
    </w:rPr>
  </w:style>
  <w:style w:type="character" w:customStyle="1" w:styleId="BodyText2Char">
    <w:name w:val="Body Text 2 Char"/>
    <w:basedOn w:val="DefaultParagraphFont"/>
    <w:link w:val="BodyText2"/>
    <w:rsid w:val="00677091"/>
    <w:rPr>
      <w:rFonts w:ascii="Arial" w:hAnsi="Arial" w:cs="Arial"/>
      <w:lang w:eastAsia="en-US"/>
    </w:rPr>
  </w:style>
  <w:style w:type="character" w:customStyle="1" w:styleId="Heading5Char">
    <w:name w:val="Heading 5 Char"/>
    <w:basedOn w:val="DefaultParagraphFont"/>
    <w:link w:val="Heading5"/>
    <w:rsid w:val="00F5479B"/>
    <w:rPr>
      <w:rFonts w:ascii="Arial" w:hAnsi="Arial" w:cs="Arial"/>
      <w:b/>
      <w:bCs/>
      <w:sz w:val="24"/>
      <w:lang w:eastAsia="en-US"/>
    </w:rPr>
  </w:style>
  <w:style w:type="character" w:customStyle="1" w:styleId="HeaderChar">
    <w:name w:val="Header Char"/>
    <w:basedOn w:val="DefaultParagraphFont"/>
    <w:link w:val="Header"/>
    <w:rsid w:val="00AB507B"/>
    <w:rPr>
      <w:sz w:val="24"/>
      <w:lang w:eastAsia="en-US"/>
    </w:rPr>
  </w:style>
  <w:style w:type="paragraph" w:styleId="EndnoteText">
    <w:name w:val="endnote text"/>
    <w:basedOn w:val="Normal"/>
    <w:link w:val="EndnoteTextChar"/>
    <w:rsid w:val="003E6548"/>
    <w:rPr>
      <w:sz w:val="20"/>
    </w:rPr>
  </w:style>
  <w:style w:type="character" w:customStyle="1" w:styleId="EndnoteTextChar">
    <w:name w:val="Endnote Text Char"/>
    <w:basedOn w:val="DefaultParagraphFont"/>
    <w:link w:val="EndnoteText"/>
    <w:rsid w:val="003E6548"/>
    <w:rPr>
      <w:lang w:eastAsia="en-US"/>
    </w:rPr>
  </w:style>
  <w:style w:type="character" w:styleId="EndnoteReference">
    <w:name w:val="endnote reference"/>
    <w:basedOn w:val="DefaultParagraphFont"/>
    <w:rsid w:val="003E6548"/>
    <w:rPr>
      <w:vertAlign w:val="superscript"/>
    </w:rPr>
  </w:style>
  <w:style w:type="character" w:styleId="Hyperlink">
    <w:name w:val="Hyperlink"/>
    <w:basedOn w:val="DefaultParagraphFont"/>
    <w:uiPriority w:val="99"/>
    <w:unhideWhenUsed/>
    <w:rsid w:val="00374B48"/>
    <w:rPr>
      <w:color w:val="0000FF"/>
      <w:u w:val="single"/>
    </w:rPr>
  </w:style>
  <w:style w:type="paragraph" w:customStyle="1" w:styleId="removeelement">
    <w:name w:val="removeelement"/>
    <w:basedOn w:val="Normal"/>
    <w:rsid w:val="00374B48"/>
    <w:pPr>
      <w:spacing w:before="100" w:beforeAutospacing="1" w:after="100" w:afterAutospacing="1"/>
    </w:pPr>
    <w:rPr>
      <w:szCs w:val="24"/>
      <w:lang w:eastAsia="en-AU"/>
    </w:rPr>
  </w:style>
  <w:style w:type="character" w:customStyle="1" w:styleId="abbrev">
    <w:name w:val="abbrev"/>
    <w:basedOn w:val="DefaultParagraphFont"/>
    <w:rsid w:val="00374B48"/>
  </w:style>
  <w:style w:type="paragraph" w:customStyle="1" w:styleId="drugtext">
    <w:name w:val="drugtext"/>
    <w:basedOn w:val="Normal"/>
    <w:rsid w:val="00374B48"/>
    <w:pPr>
      <w:spacing w:before="100" w:beforeAutospacing="1" w:after="100" w:afterAutospacing="1"/>
    </w:pPr>
    <w:rPr>
      <w:szCs w:val="24"/>
      <w:lang w:eastAsia="en-AU"/>
    </w:rPr>
  </w:style>
  <w:style w:type="character" w:customStyle="1" w:styleId="listbullet">
    <w:name w:val="listbullet"/>
    <w:basedOn w:val="DefaultParagraphFont"/>
    <w:rsid w:val="00374B48"/>
  </w:style>
  <w:style w:type="paragraph" w:styleId="NormalWeb">
    <w:name w:val="Normal (Web)"/>
    <w:basedOn w:val="Normal"/>
    <w:uiPriority w:val="99"/>
    <w:unhideWhenUsed/>
    <w:rsid w:val="00374B48"/>
    <w:pPr>
      <w:spacing w:before="100" w:beforeAutospacing="1" w:after="100" w:afterAutospacing="1"/>
    </w:pPr>
    <w:rPr>
      <w:szCs w:val="24"/>
      <w:lang w:eastAsia="en-AU"/>
    </w:rPr>
  </w:style>
  <w:style w:type="paragraph" w:styleId="Revision">
    <w:name w:val="Revision"/>
    <w:hidden/>
    <w:uiPriority w:val="99"/>
    <w:semiHidden/>
    <w:rsid w:val="00894109"/>
    <w:rPr>
      <w:sz w:val="24"/>
      <w:lang w:eastAsia="en-US"/>
    </w:rPr>
  </w:style>
  <w:style w:type="character" w:customStyle="1" w:styleId="Heading2Char">
    <w:name w:val="Heading 2 Char"/>
    <w:basedOn w:val="DefaultParagraphFont"/>
    <w:link w:val="Heading2"/>
    <w:uiPriority w:val="9"/>
    <w:rsid w:val="007C6707"/>
    <w:rPr>
      <w:rFonts w:ascii="Calibri" w:hAnsi="Calibri"/>
      <w:b/>
      <w:bCs/>
      <w:iCs/>
      <w:sz w:val="24"/>
      <w:szCs w:val="24"/>
      <w:lang w:eastAsia="en-US"/>
    </w:rPr>
  </w:style>
  <w:style w:type="character" w:customStyle="1" w:styleId="CommentTextChar">
    <w:name w:val="Comment Text Char"/>
    <w:link w:val="CommentText"/>
    <w:semiHidden/>
    <w:rsid w:val="00617B64"/>
    <w:rPr>
      <w:lang w:eastAsia="en-US"/>
    </w:rPr>
  </w:style>
  <w:style w:type="paragraph" w:styleId="NoSpacing">
    <w:name w:val="No Spacing"/>
    <w:uiPriority w:val="1"/>
    <w:qFormat/>
    <w:rsid w:val="00DC660A"/>
    <w:rPr>
      <w:rFonts w:ascii="Calibri" w:eastAsia="Calibri" w:hAnsi="Calibri"/>
      <w:sz w:val="22"/>
      <w:szCs w:val="22"/>
      <w:lang w:eastAsia="en-US"/>
    </w:rPr>
  </w:style>
  <w:style w:type="character" w:customStyle="1" w:styleId="Heading1Char">
    <w:name w:val="Heading 1 Char"/>
    <w:basedOn w:val="DefaultParagraphFont"/>
    <w:link w:val="Heading1"/>
    <w:rsid w:val="007C6707"/>
    <w:rPr>
      <w:rFonts w:ascii="Calibri" w:eastAsiaTheme="majorEastAsia" w:hAnsi="Calibri" w:cstheme="majorBidi"/>
      <w:b/>
      <w:sz w:val="28"/>
      <w:szCs w:val="32"/>
      <w:lang w:eastAsia="en-US"/>
    </w:rPr>
  </w:style>
  <w:style w:type="character" w:styleId="FollowedHyperlink">
    <w:name w:val="FollowedHyperlink"/>
    <w:basedOn w:val="DefaultParagraphFont"/>
    <w:semiHidden/>
    <w:unhideWhenUsed/>
    <w:rsid w:val="00C77986"/>
    <w:rPr>
      <w:color w:val="800080" w:themeColor="followedHyperlink"/>
      <w:u w:val="single"/>
    </w:rPr>
  </w:style>
  <w:style w:type="paragraph" w:styleId="TOCHeading">
    <w:name w:val="TOC Heading"/>
    <w:basedOn w:val="Heading1"/>
    <w:next w:val="Normal"/>
    <w:uiPriority w:val="39"/>
    <w:unhideWhenUsed/>
    <w:qFormat/>
    <w:rsid w:val="00601C5B"/>
    <w:pPr>
      <w:framePr w:wrap="around"/>
      <w:spacing w:line="259" w:lineRule="auto"/>
      <w:outlineLvl w:val="9"/>
    </w:pPr>
    <w:rPr>
      <w:rFonts w:asciiTheme="majorHAnsi" w:hAnsiTheme="majorHAnsi"/>
      <w:b w:val="0"/>
      <w:color w:val="365F91" w:themeColor="accent1" w:themeShade="BF"/>
      <w:lang w:val="en-US"/>
    </w:rPr>
  </w:style>
  <w:style w:type="paragraph" w:styleId="TOC2">
    <w:name w:val="toc 2"/>
    <w:basedOn w:val="Normal"/>
    <w:next w:val="Normal"/>
    <w:autoRedefine/>
    <w:uiPriority w:val="39"/>
    <w:unhideWhenUsed/>
    <w:rsid w:val="007C6707"/>
    <w:pPr>
      <w:spacing w:after="100"/>
      <w:ind w:left="240"/>
    </w:pPr>
    <w:rPr>
      <w:rFonts w:ascii="Calibri" w:hAnsi="Calibri"/>
    </w:rPr>
  </w:style>
  <w:style w:type="paragraph" w:styleId="TOC1">
    <w:name w:val="toc 1"/>
    <w:basedOn w:val="Normal"/>
    <w:next w:val="Normal"/>
    <w:autoRedefine/>
    <w:uiPriority w:val="39"/>
    <w:unhideWhenUsed/>
    <w:rsid w:val="007C6707"/>
    <w:pPr>
      <w:spacing w:after="100"/>
    </w:pPr>
    <w:rPr>
      <w:rFonts w:ascii="Calibri" w:hAnsi="Calibri"/>
    </w:rPr>
  </w:style>
  <w:style w:type="paragraph" w:styleId="TOC3">
    <w:name w:val="toc 3"/>
    <w:basedOn w:val="Normal"/>
    <w:next w:val="Normal"/>
    <w:autoRedefine/>
    <w:uiPriority w:val="39"/>
    <w:unhideWhenUsed/>
    <w:rsid w:val="007C6707"/>
    <w:pPr>
      <w:spacing w:after="100"/>
      <w:ind w:left="480"/>
    </w:pPr>
    <w:rPr>
      <w:rFonts w:ascii="Calibri" w:hAnsi="Calibri"/>
    </w:rPr>
  </w:style>
  <w:style w:type="paragraph" w:customStyle="1" w:styleId="Default">
    <w:name w:val="Default"/>
    <w:rsid w:val="00FB53D9"/>
    <w:pPr>
      <w:autoSpaceDE w:val="0"/>
      <w:autoSpaceDN w:val="0"/>
      <w:adjustRightInd w:val="0"/>
    </w:pPr>
    <w:rPr>
      <w:color w:val="000000"/>
      <w:sz w:val="24"/>
      <w:szCs w:val="24"/>
    </w:rPr>
  </w:style>
  <w:style w:type="character" w:customStyle="1" w:styleId="Heading3Char">
    <w:name w:val="Heading 3 Char"/>
    <w:basedOn w:val="DefaultParagraphFont"/>
    <w:link w:val="Heading3"/>
    <w:rsid w:val="007C6707"/>
    <w:rPr>
      <w:rFonts w:ascii="Calibri" w:eastAsiaTheme="majorEastAsia" w:hAnsi="Calibri" w:cstheme="majorBidi"/>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1731">
      <w:bodyDiv w:val="1"/>
      <w:marLeft w:val="0"/>
      <w:marRight w:val="0"/>
      <w:marTop w:val="0"/>
      <w:marBottom w:val="0"/>
      <w:divBdr>
        <w:top w:val="none" w:sz="0" w:space="0" w:color="auto"/>
        <w:left w:val="none" w:sz="0" w:space="0" w:color="auto"/>
        <w:bottom w:val="none" w:sz="0" w:space="0" w:color="auto"/>
        <w:right w:val="none" w:sz="0" w:space="0" w:color="auto"/>
      </w:divBdr>
    </w:div>
    <w:div w:id="338166303">
      <w:bodyDiv w:val="1"/>
      <w:marLeft w:val="0"/>
      <w:marRight w:val="0"/>
      <w:marTop w:val="0"/>
      <w:marBottom w:val="0"/>
      <w:divBdr>
        <w:top w:val="none" w:sz="0" w:space="0" w:color="auto"/>
        <w:left w:val="none" w:sz="0" w:space="0" w:color="auto"/>
        <w:bottom w:val="none" w:sz="0" w:space="0" w:color="auto"/>
        <w:right w:val="none" w:sz="0" w:space="0" w:color="auto"/>
      </w:divBdr>
    </w:div>
    <w:div w:id="351804515">
      <w:bodyDiv w:val="1"/>
      <w:marLeft w:val="0"/>
      <w:marRight w:val="0"/>
      <w:marTop w:val="0"/>
      <w:marBottom w:val="0"/>
      <w:divBdr>
        <w:top w:val="none" w:sz="0" w:space="0" w:color="auto"/>
        <w:left w:val="none" w:sz="0" w:space="0" w:color="auto"/>
        <w:bottom w:val="none" w:sz="0" w:space="0" w:color="auto"/>
        <w:right w:val="none" w:sz="0" w:space="0" w:color="auto"/>
      </w:divBdr>
    </w:div>
    <w:div w:id="967978490">
      <w:bodyDiv w:val="1"/>
      <w:marLeft w:val="0"/>
      <w:marRight w:val="0"/>
      <w:marTop w:val="0"/>
      <w:marBottom w:val="0"/>
      <w:divBdr>
        <w:top w:val="none" w:sz="0" w:space="0" w:color="auto"/>
        <w:left w:val="none" w:sz="0" w:space="0" w:color="auto"/>
        <w:bottom w:val="none" w:sz="0" w:space="0" w:color="auto"/>
        <w:right w:val="none" w:sz="0" w:space="0" w:color="auto"/>
      </w:divBdr>
    </w:div>
    <w:div w:id="987129024">
      <w:bodyDiv w:val="1"/>
      <w:marLeft w:val="0"/>
      <w:marRight w:val="0"/>
      <w:marTop w:val="0"/>
      <w:marBottom w:val="0"/>
      <w:divBdr>
        <w:top w:val="none" w:sz="0" w:space="0" w:color="auto"/>
        <w:left w:val="none" w:sz="0" w:space="0" w:color="auto"/>
        <w:bottom w:val="none" w:sz="0" w:space="0" w:color="auto"/>
        <w:right w:val="none" w:sz="0" w:space="0" w:color="auto"/>
      </w:divBdr>
    </w:div>
    <w:div w:id="1195192941">
      <w:bodyDiv w:val="1"/>
      <w:marLeft w:val="0"/>
      <w:marRight w:val="0"/>
      <w:marTop w:val="0"/>
      <w:marBottom w:val="0"/>
      <w:divBdr>
        <w:top w:val="none" w:sz="0" w:space="0" w:color="auto"/>
        <w:left w:val="none" w:sz="0" w:space="0" w:color="auto"/>
        <w:bottom w:val="none" w:sz="0" w:space="0" w:color="auto"/>
        <w:right w:val="none" w:sz="0" w:space="0" w:color="auto"/>
      </w:divBdr>
    </w:div>
    <w:div w:id="1221526619">
      <w:bodyDiv w:val="1"/>
      <w:marLeft w:val="0"/>
      <w:marRight w:val="0"/>
      <w:marTop w:val="0"/>
      <w:marBottom w:val="0"/>
      <w:divBdr>
        <w:top w:val="none" w:sz="0" w:space="0" w:color="auto"/>
        <w:left w:val="none" w:sz="0" w:space="0" w:color="auto"/>
        <w:bottom w:val="none" w:sz="0" w:space="0" w:color="auto"/>
        <w:right w:val="none" w:sz="0" w:space="0" w:color="auto"/>
      </w:divBdr>
      <w:divsChild>
        <w:div w:id="570234763">
          <w:marLeft w:val="0"/>
          <w:marRight w:val="0"/>
          <w:marTop w:val="0"/>
          <w:marBottom w:val="0"/>
          <w:divBdr>
            <w:top w:val="none" w:sz="0" w:space="0" w:color="auto"/>
            <w:left w:val="none" w:sz="0" w:space="0" w:color="auto"/>
            <w:bottom w:val="none" w:sz="0" w:space="0" w:color="auto"/>
            <w:right w:val="none" w:sz="0" w:space="0" w:color="auto"/>
          </w:divBdr>
          <w:divsChild>
            <w:div w:id="1599093381">
              <w:marLeft w:val="0"/>
              <w:marRight w:val="0"/>
              <w:marTop w:val="0"/>
              <w:marBottom w:val="0"/>
              <w:divBdr>
                <w:top w:val="none" w:sz="0" w:space="0" w:color="auto"/>
                <w:left w:val="none" w:sz="0" w:space="0" w:color="auto"/>
                <w:bottom w:val="none" w:sz="0" w:space="0" w:color="auto"/>
                <w:right w:val="none" w:sz="0" w:space="0" w:color="auto"/>
              </w:divBdr>
              <w:divsChild>
                <w:div w:id="1714186867">
                  <w:marLeft w:val="0"/>
                  <w:marRight w:val="0"/>
                  <w:marTop w:val="0"/>
                  <w:marBottom w:val="0"/>
                  <w:divBdr>
                    <w:top w:val="none" w:sz="0" w:space="0" w:color="auto"/>
                    <w:left w:val="none" w:sz="0" w:space="0" w:color="auto"/>
                    <w:bottom w:val="none" w:sz="0" w:space="0" w:color="auto"/>
                    <w:right w:val="none" w:sz="0" w:space="0" w:color="auto"/>
                  </w:divBdr>
                  <w:divsChild>
                    <w:div w:id="1119254496">
                      <w:marLeft w:val="0"/>
                      <w:marRight w:val="0"/>
                      <w:marTop w:val="0"/>
                      <w:marBottom w:val="0"/>
                      <w:divBdr>
                        <w:top w:val="none" w:sz="0" w:space="0" w:color="auto"/>
                        <w:left w:val="none" w:sz="0" w:space="0" w:color="auto"/>
                        <w:bottom w:val="none" w:sz="0" w:space="0" w:color="auto"/>
                        <w:right w:val="none" w:sz="0" w:space="0" w:color="auto"/>
                      </w:divBdr>
                      <w:divsChild>
                        <w:div w:id="1948152682">
                          <w:marLeft w:val="0"/>
                          <w:marRight w:val="0"/>
                          <w:marTop w:val="0"/>
                          <w:marBottom w:val="0"/>
                          <w:divBdr>
                            <w:top w:val="none" w:sz="0" w:space="0" w:color="auto"/>
                            <w:left w:val="none" w:sz="0" w:space="0" w:color="auto"/>
                            <w:bottom w:val="none" w:sz="0" w:space="0" w:color="auto"/>
                            <w:right w:val="none" w:sz="0" w:space="0" w:color="auto"/>
                          </w:divBdr>
                          <w:divsChild>
                            <w:div w:id="1117215049">
                              <w:marLeft w:val="0"/>
                              <w:marRight w:val="0"/>
                              <w:marTop w:val="0"/>
                              <w:marBottom w:val="0"/>
                              <w:divBdr>
                                <w:top w:val="none" w:sz="0" w:space="0" w:color="auto"/>
                                <w:left w:val="none" w:sz="0" w:space="0" w:color="auto"/>
                                <w:bottom w:val="none" w:sz="0" w:space="0" w:color="auto"/>
                                <w:right w:val="none" w:sz="0" w:space="0" w:color="auto"/>
                              </w:divBdr>
                              <w:divsChild>
                                <w:div w:id="73360095">
                                  <w:marLeft w:val="0"/>
                                  <w:marRight w:val="0"/>
                                  <w:marTop w:val="0"/>
                                  <w:marBottom w:val="0"/>
                                  <w:divBdr>
                                    <w:top w:val="none" w:sz="0" w:space="0" w:color="auto"/>
                                    <w:left w:val="none" w:sz="0" w:space="0" w:color="auto"/>
                                    <w:bottom w:val="none" w:sz="0" w:space="0" w:color="auto"/>
                                    <w:right w:val="none" w:sz="0" w:space="0" w:color="auto"/>
                                  </w:divBdr>
                                </w:div>
                                <w:div w:id="170459185">
                                  <w:marLeft w:val="0"/>
                                  <w:marRight w:val="0"/>
                                  <w:marTop w:val="0"/>
                                  <w:marBottom w:val="0"/>
                                  <w:divBdr>
                                    <w:top w:val="none" w:sz="0" w:space="0" w:color="auto"/>
                                    <w:left w:val="none" w:sz="0" w:space="0" w:color="auto"/>
                                    <w:bottom w:val="none" w:sz="0" w:space="0" w:color="auto"/>
                                    <w:right w:val="none" w:sz="0" w:space="0" w:color="auto"/>
                                  </w:divBdr>
                                </w:div>
                                <w:div w:id="234556532">
                                  <w:marLeft w:val="0"/>
                                  <w:marRight w:val="0"/>
                                  <w:marTop w:val="0"/>
                                  <w:marBottom w:val="0"/>
                                  <w:divBdr>
                                    <w:top w:val="none" w:sz="0" w:space="0" w:color="auto"/>
                                    <w:left w:val="none" w:sz="0" w:space="0" w:color="auto"/>
                                    <w:bottom w:val="none" w:sz="0" w:space="0" w:color="auto"/>
                                    <w:right w:val="none" w:sz="0" w:space="0" w:color="auto"/>
                                  </w:divBdr>
                                </w:div>
                                <w:div w:id="303119236">
                                  <w:marLeft w:val="0"/>
                                  <w:marRight w:val="0"/>
                                  <w:marTop w:val="0"/>
                                  <w:marBottom w:val="0"/>
                                  <w:divBdr>
                                    <w:top w:val="none" w:sz="0" w:space="0" w:color="auto"/>
                                    <w:left w:val="none" w:sz="0" w:space="0" w:color="auto"/>
                                    <w:bottom w:val="none" w:sz="0" w:space="0" w:color="auto"/>
                                    <w:right w:val="none" w:sz="0" w:space="0" w:color="auto"/>
                                  </w:divBdr>
                                </w:div>
                                <w:div w:id="363405574">
                                  <w:marLeft w:val="0"/>
                                  <w:marRight w:val="0"/>
                                  <w:marTop w:val="0"/>
                                  <w:marBottom w:val="0"/>
                                  <w:divBdr>
                                    <w:top w:val="none" w:sz="0" w:space="0" w:color="auto"/>
                                    <w:left w:val="none" w:sz="0" w:space="0" w:color="auto"/>
                                    <w:bottom w:val="none" w:sz="0" w:space="0" w:color="auto"/>
                                    <w:right w:val="none" w:sz="0" w:space="0" w:color="auto"/>
                                  </w:divBdr>
                                </w:div>
                                <w:div w:id="398871306">
                                  <w:marLeft w:val="0"/>
                                  <w:marRight w:val="0"/>
                                  <w:marTop w:val="0"/>
                                  <w:marBottom w:val="0"/>
                                  <w:divBdr>
                                    <w:top w:val="none" w:sz="0" w:space="0" w:color="auto"/>
                                    <w:left w:val="none" w:sz="0" w:space="0" w:color="auto"/>
                                    <w:bottom w:val="none" w:sz="0" w:space="0" w:color="auto"/>
                                    <w:right w:val="none" w:sz="0" w:space="0" w:color="auto"/>
                                  </w:divBdr>
                                </w:div>
                                <w:div w:id="453791428">
                                  <w:marLeft w:val="0"/>
                                  <w:marRight w:val="0"/>
                                  <w:marTop w:val="0"/>
                                  <w:marBottom w:val="0"/>
                                  <w:divBdr>
                                    <w:top w:val="none" w:sz="0" w:space="0" w:color="auto"/>
                                    <w:left w:val="none" w:sz="0" w:space="0" w:color="auto"/>
                                    <w:bottom w:val="none" w:sz="0" w:space="0" w:color="auto"/>
                                    <w:right w:val="none" w:sz="0" w:space="0" w:color="auto"/>
                                  </w:divBdr>
                                </w:div>
                                <w:div w:id="457603249">
                                  <w:marLeft w:val="0"/>
                                  <w:marRight w:val="0"/>
                                  <w:marTop w:val="0"/>
                                  <w:marBottom w:val="0"/>
                                  <w:divBdr>
                                    <w:top w:val="none" w:sz="0" w:space="0" w:color="auto"/>
                                    <w:left w:val="none" w:sz="0" w:space="0" w:color="auto"/>
                                    <w:bottom w:val="none" w:sz="0" w:space="0" w:color="auto"/>
                                    <w:right w:val="none" w:sz="0" w:space="0" w:color="auto"/>
                                  </w:divBdr>
                                </w:div>
                                <w:div w:id="568852921">
                                  <w:marLeft w:val="0"/>
                                  <w:marRight w:val="0"/>
                                  <w:marTop w:val="0"/>
                                  <w:marBottom w:val="0"/>
                                  <w:divBdr>
                                    <w:top w:val="none" w:sz="0" w:space="0" w:color="auto"/>
                                    <w:left w:val="none" w:sz="0" w:space="0" w:color="auto"/>
                                    <w:bottom w:val="none" w:sz="0" w:space="0" w:color="auto"/>
                                    <w:right w:val="none" w:sz="0" w:space="0" w:color="auto"/>
                                  </w:divBdr>
                                </w:div>
                                <w:div w:id="630553549">
                                  <w:marLeft w:val="0"/>
                                  <w:marRight w:val="0"/>
                                  <w:marTop w:val="0"/>
                                  <w:marBottom w:val="0"/>
                                  <w:divBdr>
                                    <w:top w:val="none" w:sz="0" w:space="0" w:color="auto"/>
                                    <w:left w:val="none" w:sz="0" w:space="0" w:color="auto"/>
                                    <w:bottom w:val="none" w:sz="0" w:space="0" w:color="auto"/>
                                    <w:right w:val="none" w:sz="0" w:space="0" w:color="auto"/>
                                  </w:divBdr>
                                </w:div>
                                <w:div w:id="649409287">
                                  <w:marLeft w:val="0"/>
                                  <w:marRight w:val="0"/>
                                  <w:marTop w:val="0"/>
                                  <w:marBottom w:val="0"/>
                                  <w:divBdr>
                                    <w:top w:val="none" w:sz="0" w:space="0" w:color="auto"/>
                                    <w:left w:val="none" w:sz="0" w:space="0" w:color="auto"/>
                                    <w:bottom w:val="none" w:sz="0" w:space="0" w:color="auto"/>
                                    <w:right w:val="none" w:sz="0" w:space="0" w:color="auto"/>
                                  </w:divBdr>
                                </w:div>
                                <w:div w:id="650184434">
                                  <w:marLeft w:val="0"/>
                                  <w:marRight w:val="0"/>
                                  <w:marTop w:val="0"/>
                                  <w:marBottom w:val="0"/>
                                  <w:divBdr>
                                    <w:top w:val="none" w:sz="0" w:space="0" w:color="auto"/>
                                    <w:left w:val="none" w:sz="0" w:space="0" w:color="auto"/>
                                    <w:bottom w:val="none" w:sz="0" w:space="0" w:color="auto"/>
                                    <w:right w:val="none" w:sz="0" w:space="0" w:color="auto"/>
                                  </w:divBdr>
                                </w:div>
                                <w:div w:id="726731534">
                                  <w:marLeft w:val="0"/>
                                  <w:marRight w:val="0"/>
                                  <w:marTop w:val="0"/>
                                  <w:marBottom w:val="0"/>
                                  <w:divBdr>
                                    <w:top w:val="none" w:sz="0" w:space="0" w:color="auto"/>
                                    <w:left w:val="none" w:sz="0" w:space="0" w:color="auto"/>
                                    <w:bottom w:val="none" w:sz="0" w:space="0" w:color="auto"/>
                                    <w:right w:val="none" w:sz="0" w:space="0" w:color="auto"/>
                                  </w:divBdr>
                                </w:div>
                                <w:div w:id="799036757">
                                  <w:marLeft w:val="0"/>
                                  <w:marRight w:val="0"/>
                                  <w:marTop w:val="0"/>
                                  <w:marBottom w:val="0"/>
                                  <w:divBdr>
                                    <w:top w:val="none" w:sz="0" w:space="0" w:color="auto"/>
                                    <w:left w:val="none" w:sz="0" w:space="0" w:color="auto"/>
                                    <w:bottom w:val="none" w:sz="0" w:space="0" w:color="auto"/>
                                    <w:right w:val="none" w:sz="0" w:space="0" w:color="auto"/>
                                  </w:divBdr>
                                </w:div>
                                <w:div w:id="880168534">
                                  <w:marLeft w:val="0"/>
                                  <w:marRight w:val="0"/>
                                  <w:marTop w:val="0"/>
                                  <w:marBottom w:val="0"/>
                                  <w:divBdr>
                                    <w:top w:val="none" w:sz="0" w:space="0" w:color="auto"/>
                                    <w:left w:val="none" w:sz="0" w:space="0" w:color="auto"/>
                                    <w:bottom w:val="none" w:sz="0" w:space="0" w:color="auto"/>
                                    <w:right w:val="none" w:sz="0" w:space="0" w:color="auto"/>
                                  </w:divBdr>
                                </w:div>
                                <w:div w:id="994265147">
                                  <w:marLeft w:val="0"/>
                                  <w:marRight w:val="0"/>
                                  <w:marTop w:val="0"/>
                                  <w:marBottom w:val="0"/>
                                  <w:divBdr>
                                    <w:top w:val="none" w:sz="0" w:space="0" w:color="auto"/>
                                    <w:left w:val="none" w:sz="0" w:space="0" w:color="auto"/>
                                    <w:bottom w:val="none" w:sz="0" w:space="0" w:color="auto"/>
                                    <w:right w:val="none" w:sz="0" w:space="0" w:color="auto"/>
                                  </w:divBdr>
                                </w:div>
                                <w:div w:id="1042245309">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6569070">
                                  <w:marLeft w:val="0"/>
                                  <w:marRight w:val="0"/>
                                  <w:marTop w:val="0"/>
                                  <w:marBottom w:val="0"/>
                                  <w:divBdr>
                                    <w:top w:val="none" w:sz="0" w:space="0" w:color="auto"/>
                                    <w:left w:val="none" w:sz="0" w:space="0" w:color="auto"/>
                                    <w:bottom w:val="none" w:sz="0" w:space="0" w:color="auto"/>
                                    <w:right w:val="none" w:sz="0" w:space="0" w:color="auto"/>
                                  </w:divBdr>
                                </w:div>
                                <w:div w:id="1275135294">
                                  <w:marLeft w:val="0"/>
                                  <w:marRight w:val="0"/>
                                  <w:marTop w:val="0"/>
                                  <w:marBottom w:val="0"/>
                                  <w:divBdr>
                                    <w:top w:val="none" w:sz="0" w:space="0" w:color="auto"/>
                                    <w:left w:val="none" w:sz="0" w:space="0" w:color="auto"/>
                                    <w:bottom w:val="none" w:sz="0" w:space="0" w:color="auto"/>
                                    <w:right w:val="none" w:sz="0" w:space="0" w:color="auto"/>
                                  </w:divBdr>
                                </w:div>
                                <w:div w:id="1319654018">
                                  <w:marLeft w:val="0"/>
                                  <w:marRight w:val="0"/>
                                  <w:marTop w:val="0"/>
                                  <w:marBottom w:val="0"/>
                                  <w:divBdr>
                                    <w:top w:val="none" w:sz="0" w:space="0" w:color="auto"/>
                                    <w:left w:val="none" w:sz="0" w:space="0" w:color="auto"/>
                                    <w:bottom w:val="none" w:sz="0" w:space="0" w:color="auto"/>
                                    <w:right w:val="none" w:sz="0" w:space="0" w:color="auto"/>
                                  </w:divBdr>
                                </w:div>
                                <w:div w:id="1440178641">
                                  <w:marLeft w:val="0"/>
                                  <w:marRight w:val="0"/>
                                  <w:marTop w:val="0"/>
                                  <w:marBottom w:val="0"/>
                                  <w:divBdr>
                                    <w:top w:val="none" w:sz="0" w:space="0" w:color="auto"/>
                                    <w:left w:val="none" w:sz="0" w:space="0" w:color="auto"/>
                                    <w:bottom w:val="none" w:sz="0" w:space="0" w:color="auto"/>
                                    <w:right w:val="none" w:sz="0" w:space="0" w:color="auto"/>
                                  </w:divBdr>
                                </w:div>
                                <w:div w:id="1564216122">
                                  <w:marLeft w:val="0"/>
                                  <w:marRight w:val="0"/>
                                  <w:marTop w:val="0"/>
                                  <w:marBottom w:val="0"/>
                                  <w:divBdr>
                                    <w:top w:val="none" w:sz="0" w:space="0" w:color="auto"/>
                                    <w:left w:val="none" w:sz="0" w:space="0" w:color="auto"/>
                                    <w:bottom w:val="none" w:sz="0" w:space="0" w:color="auto"/>
                                    <w:right w:val="none" w:sz="0" w:space="0" w:color="auto"/>
                                  </w:divBdr>
                                </w:div>
                                <w:div w:id="1573738186">
                                  <w:marLeft w:val="0"/>
                                  <w:marRight w:val="0"/>
                                  <w:marTop w:val="0"/>
                                  <w:marBottom w:val="0"/>
                                  <w:divBdr>
                                    <w:top w:val="none" w:sz="0" w:space="0" w:color="auto"/>
                                    <w:left w:val="none" w:sz="0" w:space="0" w:color="auto"/>
                                    <w:bottom w:val="none" w:sz="0" w:space="0" w:color="auto"/>
                                    <w:right w:val="none" w:sz="0" w:space="0" w:color="auto"/>
                                  </w:divBdr>
                                </w:div>
                                <w:div w:id="1604728110">
                                  <w:marLeft w:val="0"/>
                                  <w:marRight w:val="0"/>
                                  <w:marTop w:val="0"/>
                                  <w:marBottom w:val="0"/>
                                  <w:divBdr>
                                    <w:top w:val="none" w:sz="0" w:space="0" w:color="auto"/>
                                    <w:left w:val="none" w:sz="0" w:space="0" w:color="auto"/>
                                    <w:bottom w:val="none" w:sz="0" w:space="0" w:color="auto"/>
                                    <w:right w:val="none" w:sz="0" w:space="0" w:color="auto"/>
                                  </w:divBdr>
                                </w:div>
                                <w:div w:id="1673604707">
                                  <w:marLeft w:val="0"/>
                                  <w:marRight w:val="0"/>
                                  <w:marTop w:val="0"/>
                                  <w:marBottom w:val="0"/>
                                  <w:divBdr>
                                    <w:top w:val="none" w:sz="0" w:space="0" w:color="auto"/>
                                    <w:left w:val="none" w:sz="0" w:space="0" w:color="auto"/>
                                    <w:bottom w:val="none" w:sz="0" w:space="0" w:color="auto"/>
                                    <w:right w:val="none" w:sz="0" w:space="0" w:color="auto"/>
                                  </w:divBdr>
                                </w:div>
                                <w:div w:id="1790902875">
                                  <w:marLeft w:val="0"/>
                                  <w:marRight w:val="0"/>
                                  <w:marTop w:val="0"/>
                                  <w:marBottom w:val="0"/>
                                  <w:divBdr>
                                    <w:top w:val="none" w:sz="0" w:space="0" w:color="auto"/>
                                    <w:left w:val="none" w:sz="0" w:space="0" w:color="auto"/>
                                    <w:bottom w:val="none" w:sz="0" w:space="0" w:color="auto"/>
                                    <w:right w:val="none" w:sz="0" w:space="0" w:color="auto"/>
                                  </w:divBdr>
                                </w:div>
                                <w:div w:id="1893341470">
                                  <w:marLeft w:val="0"/>
                                  <w:marRight w:val="0"/>
                                  <w:marTop w:val="0"/>
                                  <w:marBottom w:val="0"/>
                                  <w:divBdr>
                                    <w:top w:val="none" w:sz="0" w:space="0" w:color="auto"/>
                                    <w:left w:val="none" w:sz="0" w:space="0" w:color="auto"/>
                                    <w:bottom w:val="none" w:sz="0" w:space="0" w:color="auto"/>
                                    <w:right w:val="none" w:sz="0" w:space="0" w:color="auto"/>
                                  </w:divBdr>
                                </w:div>
                                <w:div w:id="1910312002">
                                  <w:marLeft w:val="0"/>
                                  <w:marRight w:val="0"/>
                                  <w:marTop w:val="0"/>
                                  <w:marBottom w:val="0"/>
                                  <w:divBdr>
                                    <w:top w:val="none" w:sz="0" w:space="0" w:color="auto"/>
                                    <w:left w:val="none" w:sz="0" w:space="0" w:color="auto"/>
                                    <w:bottom w:val="none" w:sz="0" w:space="0" w:color="auto"/>
                                    <w:right w:val="none" w:sz="0" w:space="0" w:color="auto"/>
                                  </w:divBdr>
                                </w:div>
                                <w:div w:id="1952475026">
                                  <w:marLeft w:val="0"/>
                                  <w:marRight w:val="0"/>
                                  <w:marTop w:val="0"/>
                                  <w:marBottom w:val="0"/>
                                  <w:divBdr>
                                    <w:top w:val="none" w:sz="0" w:space="0" w:color="auto"/>
                                    <w:left w:val="none" w:sz="0" w:space="0" w:color="auto"/>
                                    <w:bottom w:val="none" w:sz="0" w:space="0" w:color="auto"/>
                                    <w:right w:val="none" w:sz="0" w:space="0" w:color="auto"/>
                                  </w:divBdr>
                                </w:div>
                                <w:div w:id="19583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3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c.health.nsw.gov.au/__data/assets/pdf_file/0011/386291/Safe-Gentamicin-Prescribing-In-Paediatrics-Oct-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c.health.nsw.gov.au/__data/assets/pdf_file/0011/386291/Safe-Gentamicin-Prescribing-In-Paediatrics-Oct-2017.pdf" TargetMode="External"/><Relationship Id="rId5" Type="http://schemas.openxmlformats.org/officeDocument/2006/relationships/numbering" Target="numbering.xml"/><Relationship Id="rId15" Type="http://schemas.openxmlformats.org/officeDocument/2006/relationships/hyperlink" Target="http://acthealthlibrary.idm.oclc.org/login?url=http://aidh.hcn.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gldcdp.tg.org.au/viewTopic?topicfile=aminoglycoside-use-principles&amp;guidelineName=Antibio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1" ma:contentTypeDescription="Create a new document." ma:contentTypeScope="" ma:versionID="b46a3cf48b27f27ea6a05f58a714ba51">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fe2e8c2194fce09c6d8db0d45358052c"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690b2128-8961-48af-a473-22c34a9accba">24 June 21 - Extension granted until 1 Dec 21 by Senior director 
8 Dec 21 - Pharmacy is reviewing document
2 May 22 - AMS pharmacist review in progress then for consultation</Notes0>
    <Replaces_x003a_ xmlns="690b2128-8961-48af-a473-22c34a9accba">CHHS12/326 Once-Daily Aminoglycosides (ADULTS) Dosing and Monitoring Clinical Guidelines for gentamicin and tobramycin</Replaces_x003a_>
    <Approval_x0020_Name_x007c_Committee xmlns="690b2128-8961-48af-a473-22c34a9accba">CHHS Policy Committee</Approval_x0020_Name_x007c_Committee>
    <TaxCatchAll xmlns="c0239a80-7f07-4ed7-82c3-24ad7d76ada5" xsi:nil="true"/>
    <Progress xmlns="690b2128-8961-48af-a473-22c34a9accba" xsi:nil="true"/>
    <Type_x0020_of_x0020_Document xmlns="690b2128-8961-48af-a473-22c34a9accba">Procedure</Type_x0020_of_x0020_Document>
    <Status xmlns="690b2128-8961-48af-a473-22c34a9accba">Overdue for Review</Status>
    <New_x0020_Applies_x0020_To xmlns="690b2128-8961-48af-a473-22c34a9accba">Canberra Health Services</New_x0020_Applies_x0020_To>
    <New_x0020_Owner xmlns="690b2128-8961-48af-a473-22c34a9accba">Medical Services Group - Pharmacy</New_x0020_Owner>
    <Key_x0020_Words xmlns="690b2128-8961-48af-a473-22c34a9accba">Intravenous Dosing, Monitoring, Aminoglycosides, gentamicin, tobramycin, amikacin</Key_x0020_Words>
    <Decision_x0020_Number xmlns="690b2128-8961-48af-a473-22c34a9accba">CHHS18/080</Decision_x0020_Number>
    <Review_x0020_Date xmlns="690b2128-8961-48af-a473-22c34a9accba">2021-11-30T13:00:00+00:00</Review_x0020_Date>
    <Description0 xmlns="690b2128-8961-48af-a473-22c34a9accba">The purpose of this procedure is to ensure the safe prescribing, administration and monitoring of intravenous aminoglycoside therapy for the treatment of systemic infection at Canberra Hospital and Health Services.</Description0>
    <Display_x0020_on_x0020_Internet xmlns="690b2128-8961-48af-a473-22c34a9accba">true</Display_x0020_on_x0020_Internet>
    <Version_x0020_Number xmlns="690b2128-8961-48af-a473-22c34a9accba">1</Version_x0020_Number>
    <Related_x0020_Documents xmlns="690b2128-8961-48af-a473-22c34a9accba" xsi:nil="true"/>
    <Approval_x0020_Date xmlns="690b2128-8961-48af-a473-22c34a9accba">2018-02-20T13:00:00+00:00</Approval_x0020_Date>
    <Risk_x0020_Rating xmlns="690b2128-8961-48af-a473-22c34a9accba">High</Risk_x0020_Rating>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746E5-EC9D-4826-9FBC-87C1D1F04622}"/>
</file>

<file path=customXml/itemProps2.xml><?xml version="1.0" encoding="utf-8"?>
<ds:datastoreItem xmlns:ds="http://schemas.openxmlformats.org/officeDocument/2006/customXml" ds:itemID="{1154C694-6782-4A69-AE8E-2B50A605D976}">
  <ds:schemaRefs>
    <ds:schemaRef ds:uri="http://schemas.microsoft.com/office/2006/metadata/properties"/>
    <ds:schemaRef ds:uri="b2806a9b-524a-408a-9242-7f2c397428d8"/>
    <ds:schemaRef ds:uri="0c8e588b-9c83-49d3-a6c8-a54de8f95e6a"/>
    <ds:schemaRef ds:uri="http://schemas.microsoft.com/office/infopath/2007/PartnerControls"/>
  </ds:schemaRefs>
</ds:datastoreItem>
</file>

<file path=customXml/itemProps3.xml><?xml version="1.0" encoding="utf-8"?>
<ds:datastoreItem xmlns:ds="http://schemas.openxmlformats.org/officeDocument/2006/customXml" ds:itemID="{48A1B969-46EF-424A-9F51-68BDD1833E25}">
  <ds:schemaRefs>
    <ds:schemaRef ds:uri="http://schemas.openxmlformats.org/officeDocument/2006/bibliography"/>
  </ds:schemaRefs>
</ds:datastoreItem>
</file>

<file path=customXml/itemProps4.xml><?xml version="1.0" encoding="utf-8"?>
<ds:datastoreItem xmlns:ds="http://schemas.openxmlformats.org/officeDocument/2006/customXml" ds:itemID="{91C4589F-9DA1-4620-9856-B775C89FA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Intravenous Dosing and Monitoring of Aminoglycosides in Adults.docx</dc:title>
  <dc:subject>2;#;#1;#</dc:subject>
  <dc:creator/>
  <cp:keywords/>
  <dc:description/>
  <cp:lastModifiedBy/>
  <cp:revision>1</cp:revision>
  <dcterms:created xsi:type="dcterms:W3CDTF">2017-06-27T04:27:00Z</dcterms:created>
  <dcterms:modified xsi:type="dcterms:W3CDTF">2021-06-24T01:37:00Z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lpwstr>true</vt:lpwstr>
  </property>
  <property fmtid="{D5CDD505-2E9C-101B-9397-08002B2CF9AE}" pid="6" name="Display on Internet">
    <vt:lpwstr>false</vt:lpwstr>
  </property>
  <property fmtid="{D5CDD505-2E9C-101B-9397-08002B2CF9AE}" pid="7" name="ContentTypeId">
    <vt:lpwstr>0x0101002046B23B19A8774893278BE755DCE152</vt:lpwstr>
  </property>
  <property fmtid="{D5CDD505-2E9C-101B-9397-08002B2CF9AE}" pid="8" name="New Applies To">
    <vt:lpwstr>Health-Wide</vt:lpwstr>
  </property>
  <property fmtid="{D5CDD505-2E9C-101B-9397-08002B2CF9AE}" pid="9" name="TaxKeyword">
    <vt:lpwstr/>
  </property>
  <property fmtid="{D5CDD505-2E9C-101B-9397-08002B2CF9AE}" pid="11" name="_ExtendedDescription">
    <vt:lpwstr/>
  </property>
  <property fmtid="{D5CDD505-2E9C-101B-9397-08002B2CF9AE}" pid="13" name="Rank">
    <vt:lpwstr>AND</vt:lpwstr>
  </property>
</Properties>
</file>