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4E03" w14:textId="77777777" w:rsidR="000005EF" w:rsidRPr="00DA3910" w:rsidRDefault="000005EF" w:rsidP="000005EF">
      <w:pPr>
        <w:rPr>
          <w:rFonts w:cs="Arial"/>
          <w:b/>
          <w:sz w:val="40"/>
          <w:szCs w:val="40"/>
        </w:rPr>
      </w:pPr>
      <w:r w:rsidRPr="00DA3910">
        <w:rPr>
          <w:rFonts w:cs="Arial"/>
          <w:b/>
          <w:sz w:val="40"/>
          <w:szCs w:val="40"/>
        </w:rPr>
        <w:t>Canberra Hospital and Health Services</w:t>
      </w:r>
    </w:p>
    <w:p w14:paraId="0567A7F4" w14:textId="2BDC733F" w:rsidR="000005EF" w:rsidRDefault="000005EF" w:rsidP="000005EF">
      <w:pPr>
        <w:rPr>
          <w:rFonts w:cs="Arial"/>
          <w:b/>
          <w:sz w:val="40"/>
          <w:szCs w:val="40"/>
        </w:rPr>
      </w:pPr>
      <w:r>
        <w:rPr>
          <w:rFonts w:cs="Arial"/>
          <w:b/>
          <w:sz w:val="40"/>
          <w:szCs w:val="40"/>
        </w:rPr>
        <w:t xml:space="preserve">Guideline </w:t>
      </w:r>
    </w:p>
    <w:p w14:paraId="74A2ED77" w14:textId="77777777" w:rsidR="000005EF" w:rsidRPr="001E5D95" w:rsidRDefault="000005EF" w:rsidP="000005EF">
      <w:pPr>
        <w:rPr>
          <w:rFonts w:cs="Arial"/>
          <w:b/>
          <w:sz w:val="40"/>
          <w:szCs w:val="40"/>
        </w:rPr>
      </w:pPr>
      <w:r>
        <w:rPr>
          <w:rFonts w:cs="Arial"/>
          <w:b/>
          <w:sz w:val="36"/>
          <w:szCs w:val="36"/>
        </w:rPr>
        <w:t>Gentamicin - Clinical Guidelines for Dosing and Monitoring of Once Daily Gentamicin in Paediatric Patients</w:t>
      </w: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CD1C0E" w14:paraId="37A057D6" w14:textId="77777777" w:rsidTr="00E52F47">
        <w:trPr>
          <w:cantSplit/>
          <w:trHeight w:val="285"/>
        </w:trPr>
        <w:tc>
          <w:tcPr>
            <w:tcW w:w="9158" w:type="dxa"/>
            <w:shd w:val="clear" w:color="auto" w:fill="D9D9D9" w:themeFill="background1" w:themeFillShade="D9"/>
          </w:tcPr>
          <w:p w14:paraId="297CE66B" w14:textId="77777777" w:rsidR="000005EF" w:rsidRPr="00CD1C0E" w:rsidRDefault="000005EF" w:rsidP="00E52F47">
            <w:pPr>
              <w:pStyle w:val="Heading1"/>
            </w:pPr>
            <w:bookmarkStart w:id="0" w:name="_Toc389473273"/>
            <w:bookmarkStart w:id="1" w:name="_Toc393203330"/>
            <w:bookmarkStart w:id="2" w:name="Contents"/>
            <w:bookmarkStart w:id="3" w:name="_Toc95905329"/>
            <w:r w:rsidRPr="00CD1C0E">
              <w:t>Contents</w:t>
            </w:r>
            <w:bookmarkEnd w:id="0"/>
            <w:bookmarkEnd w:id="1"/>
            <w:bookmarkEnd w:id="2"/>
            <w:bookmarkEnd w:id="3"/>
          </w:p>
        </w:tc>
      </w:tr>
    </w:tbl>
    <w:p w14:paraId="1D5672BA" w14:textId="77777777" w:rsidR="000005EF" w:rsidRDefault="000005EF" w:rsidP="000005EF"/>
    <w:p w14:paraId="62636822" w14:textId="23082629" w:rsidR="00136669" w:rsidRDefault="000005EF">
      <w:pPr>
        <w:pStyle w:val="TOC1"/>
        <w:tabs>
          <w:tab w:val="right" w:leader="dot" w:pos="9060"/>
        </w:tabs>
        <w:rPr>
          <w:rFonts w:eastAsiaTheme="minorEastAsia" w:cstheme="minorBidi"/>
          <w:noProof/>
          <w:sz w:val="22"/>
          <w:szCs w:val="22"/>
          <w:lang w:eastAsia="en-AU"/>
        </w:rPr>
      </w:pPr>
      <w:r>
        <w:rPr>
          <w:rFonts w:cs="Arial"/>
          <w:b/>
          <w:sz w:val="36"/>
          <w:szCs w:val="36"/>
        </w:rPr>
        <w:fldChar w:fldCharType="begin"/>
      </w:r>
      <w:r>
        <w:rPr>
          <w:rFonts w:cs="Arial"/>
          <w:b/>
          <w:sz w:val="36"/>
          <w:szCs w:val="36"/>
        </w:rPr>
        <w:instrText xml:space="preserve"> TOC \h \z \t "Heading 1,1" </w:instrText>
      </w:r>
      <w:r>
        <w:rPr>
          <w:rFonts w:cs="Arial"/>
          <w:b/>
          <w:sz w:val="36"/>
          <w:szCs w:val="36"/>
        </w:rPr>
        <w:fldChar w:fldCharType="separate"/>
      </w:r>
      <w:hyperlink w:anchor="_Toc95905329" w:history="1">
        <w:r w:rsidR="00136669" w:rsidRPr="00374BD7">
          <w:rPr>
            <w:rStyle w:val="Hyperlink"/>
            <w:noProof/>
          </w:rPr>
          <w:t>Contents</w:t>
        </w:r>
        <w:r w:rsidR="00136669">
          <w:rPr>
            <w:noProof/>
            <w:webHidden/>
          </w:rPr>
          <w:tab/>
        </w:r>
        <w:r w:rsidR="00136669">
          <w:rPr>
            <w:noProof/>
            <w:webHidden/>
          </w:rPr>
          <w:fldChar w:fldCharType="begin"/>
        </w:r>
        <w:r w:rsidR="00136669">
          <w:rPr>
            <w:noProof/>
            <w:webHidden/>
          </w:rPr>
          <w:instrText xml:space="preserve"> PAGEREF _Toc95905329 \h </w:instrText>
        </w:r>
        <w:r w:rsidR="00136669">
          <w:rPr>
            <w:noProof/>
            <w:webHidden/>
          </w:rPr>
        </w:r>
        <w:r w:rsidR="00136669">
          <w:rPr>
            <w:noProof/>
            <w:webHidden/>
          </w:rPr>
          <w:fldChar w:fldCharType="separate"/>
        </w:r>
        <w:r w:rsidR="00136669">
          <w:rPr>
            <w:noProof/>
            <w:webHidden/>
          </w:rPr>
          <w:t>1</w:t>
        </w:r>
        <w:r w:rsidR="00136669">
          <w:rPr>
            <w:noProof/>
            <w:webHidden/>
          </w:rPr>
          <w:fldChar w:fldCharType="end"/>
        </w:r>
      </w:hyperlink>
    </w:p>
    <w:p w14:paraId="1A9EC38F" w14:textId="2CBAB17F" w:rsidR="00136669" w:rsidRDefault="00136669">
      <w:pPr>
        <w:pStyle w:val="TOC1"/>
        <w:tabs>
          <w:tab w:val="right" w:leader="dot" w:pos="9060"/>
        </w:tabs>
        <w:rPr>
          <w:rFonts w:eastAsiaTheme="minorEastAsia" w:cstheme="minorBidi"/>
          <w:noProof/>
          <w:sz w:val="22"/>
          <w:szCs w:val="22"/>
          <w:lang w:eastAsia="en-AU"/>
        </w:rPr>
      </w:pPr>
      <w:hyperlink w:anchor="_Toc95905330" w:history="1">
        <w:r w:rsidRPr="00374BD7">
          <w:rPr>
            <w:rStyle w:val="Hyperlink"/>
            <w:noProof/>
          </w:rPr>
          <w:t>Guideline Statement</w:t>
        </w:r>
        <w:r>
          <w:rPr>
            <w:noProof/>
            <w:webHidden/>
          </w:rPr>
          <w:tab/>
        </w:r>
        <w:r>
          <w:rPr>
            <w:noProof/>
            <w:webHidden/>
          </w:rPr>
          <w:fldChar w:fldCharType="begin"/>
        </w:r>
        <w:r>
          <w:rPr>
            <w:noProof/>
            <w:webHidden/>
          </w:rPr>
          <w:instrText xml:space="preserve"> PAGEREF _Toc95905330 \h </w:instrText>
        </w:r>
        <w:r>
          <w:rPr>
            <w:noProof/>
            <w:webHidden/>
          </w:rPr>
        </w:r>
        <w:r>
          <w:rPr>
            <w:noProof/>
            <w:webHidden/>
          </w:rPr>
          <w:fldChar w:fldCharType="separate"/>
        </w:r>
        <w:r>
          <w:rPr>
            <w:noProof/>
            <w:webHidden/>
          </w:rPr>
          <w:t>2</w:t>
        </w:r>
        <w:r>
          <w:rPr>
            <w:noProof/>
            <w:webHidden/>
          </w:rPr>
          <w:fldChar w:fldCharType="end"/>
        </w:r>
      </w:hyperlink>
    </w:p>
    <w:p w14:paraId="57C10B4E" w14:textId="6420299E" w:rsidR="00136669" w:rsidRDefault="00136669">
      <w:pPr>
        <w:pStyle w:val="TOC1"/>
        <w:tabs>
          <w:tab w:val="right" w:leader="dot" w:pos="9060"/>
        </w:tabs>
        <w:rPr>
          <w:rFonts w:eastAsiaTheme="minorEastAsia" w:cstheme="minorBidi"/>
          <w:noProof/>
          <w:sz w:val="22"/>
          <w:szCs w:val="22"/>
          <w:lang w:eastAsia="en-AU"/>
        </w:rPr>
      </w:pPr>
      <w:hyperlink w:anchor="_Toc95905331" w:history="1">
        <w:r w:rsidRPr="00374BD7">
          <w:rPr>
            <w:rStyle w:val="Hyperlink"/>
            <w:noProof/>
          </w:rPr>
          <w:t>Scope</w:t>
        </w:r>
        <w:r>
          <w:rPr>
            <w:noProof/>
            <w:webHidden/>
          </w:rPr>
          <w:tab/>
        </w:r>
        <w:r>
          <w:rPr>
            <w:noProof/>
            <w:webHidden/>
          </w:rPr>
          <w:fldChar w:fldCharType="begin"/>
        </w:r>
        <w:r>
          <w:rPr>
            <w:noProof/>
            <w:webHidden/>
          </w:rPr>
          <w:instrText xml:space="preserve"> PAGEREF _Toc95905331 \h </w:instrText>
        </w:r>
        <w:r>
          <w:rPr>
            <w:noProof/>
            <w:webHidden/>
          </w:rPr>
        </w:r>
        <w:r>
          <w:rPr>
            <w:noProof/>
            <w:webHidden/>
          </w:rPr>
          <w:fldChar w:fldCharType="separate"/>
        </w:r>
        <w:r>
          <w:rPr>
            <w:noProof/>
            <w:webHidden/>
          </w:rPr>
          <w:t>2</w:t>
        </w:r>
        <w:r>
          <w:rPr>
            <w:noProof/>
            <w:webHidden/>
          </w:rPr>
          <w:fldChar w:fldCharType="end"/>
        </w:r>
      </w:hyperlink>
    </w:p>
    <w:p w14:paraId="23DB9EAE" w14:textId="0BCBFC29" w:rsidR="00136669" w:rsidRDefault="00136669">
      <w:pPr>
        <w:pStyle w:val="TOC1"/>
        <w:tabs>
          <w:tab w:val="right" w:leader="dot" w:pos="9060"/>
        </w:tabs>
        <w:rPr>
          <w:rFonts w:eastAsiaTheme="minorEastAsia" w:cstheme="minorBidi"/>
          <w:noProof/>
          <w:sz w:val="22"/>
          <w:szCs w:val="22"/>
          <w:lang w:eastAsia="en-AU"/>
        </w:rPr>
      </w:pPr>
      <w:hyperlink w:anchor="_Toc95905332" w:history="1">
        <w:r w:rsidRPr="00374BD7">
          <w:rPr>
            <w:rStyle w:val="Hyperlink"/>
            <w:noProof/>
          </w:rPr>
          <w:t>Section 1 – Indications, Contraindications and Precautions</w:t>
        </w:r>
        <w:r>
          <w:rPr>
            <w:noProof/>
            <w:webHidden/>
          </w:rPr>
          <w:tab/>
        </w:r>
        <w:r>
          <w:rPr>
            <w:noProof/>
            <w:webHidden/>
          </w:rPr>
          <w:fldChar w:fldCharType="begin"/>
        </w:r>
        <w:r>
          <w:rPr>
            <w:noProof/>
            <w:webHidden/>
          </w:rPr>
          <w:instrText xml:space="preserve"> PAGEREF _Toc95905332 \h </w:instrText>
        </w:r>
        <w:r>
          <w:rPr>
            <w:noProof/>
            <w:webHidden/>
          </w:rPr>
        </w:r>
        <w:r>
          <w:rPr>
            <w:noProof/>
            <w:webHidden/>
          </w:rPr>
          <w:fldChar w:fldCharType="separate"/>
        </w:r>
        <w:r>
          <w:rPr>
            <w:noProof/>
            <w:webHidden/>
          </w:rPr>
          <w:t>3</w:t>
        </w:r>
        <w:r>
          <w:rPr>
            <w:noProof/>
            <w:webHidden/>
          </w:rPr>
          <w:fldChar w:fldCharType="end"/>
        </w:r>
      </w:hyperlink>
    </w:p>
    <w:p w14:paraId="3B634FE7" w14:textId="739CADDA" w:rsidR="00136669" w:rsidRDefault="00136669">
      <w:pPr>
        <w:pStyle w:val="TOC1"/>
        <w:tabs>
          <w:tab w:val="right" w:leader="dot" w:pos="9060"/>
        </w:tabs>
        <w:rPr>
          <w:rFonts w:eastAsiaTheme="minorEastAsia" w:cstheme="minorBidi"/>
          <w:noProof/>
          <w:sz w:val="22"/>
          <w:szCs w:val="22"/>
          <w:lang w:eastAsia="en-AU"/>
        </w:rPr>
      </w:pPr>
      <w:hyperlink w:anchor="_Toc95905333" w:history="1">
        <w:r w:rsidRPr="00374BD7">
          <w:rPr>
            <w:rStyle w:val="Hyperlink"/>
            <w:noProof/>
          </w:rPr>
          <w:t>Section 2 – Restrictions</w:t>
        </w:r>
        <w:r>
          <w:rPr>
            <w:noProof/>
            <w:webHidden/>
          </w:rPr>
          <w:tab/>
        </w:r>
        <w:r>
          <w:rPr>
            <w:noProof/>
            <w:webHidden/>
          </w:rPr>
          <w:fldChar w:fldCharType="begin"/>
        </w:r>
        <w:r>
          <w:rPr>
            <w:noProof/>
            <w:webHidden/>
          </w:rPr>
          <w:instrText xml:space="preserve"> PAGEREF _Toc95905333 \h </w:instrText>
        </w:r>
        <w:r>
          <w:rPr>
            <w:noProof/>
            <w:webHidden/>
          </w:rPr>
        </w:r>
        <w:r>
          <w:rPr>
            <w:noProof/>
            <w:webHidden/>
          </w:rPr>
          <w:fldChar w:fldCharType="separate"/>
        </w:r>
        <w:r>
          <w:rPr>
            <w:noProof/>
            <w:webHidden/>
          </w:rPr>
          <w:t>3</w:t>
        </w:r>
        <w:r>
          <w:rPr>
            <w:noProof/>
            <w:webHidden/>
          </w:rPr>
          <w:fldChar w:fldCharType="end"/>
        </w:r>
      </w:hyperlink>
    </w:p>
    <w:p w14:paraId="6BFD30D3" w14:textId="48316B90" w:rsidR="00136669" w:rsidRDefault="00136669">
      <w:pPr>
        <w:pStyle w:val="TOC1"/>
        <w:tabs>
          <w:tab w:val="right" w:leader="dot" w:pos="9060"/>
        </w:tabs>
        <w:rPr>
          <w:rFonts w:eastAsiaTheme="minorEastAsia" w:cstheme="minorBidi"/>
          <w:noProof/>
          <w:sz w:val="22"/>
          <w:szCs w:val="22"/>
          <w:lang w:eastAsia="en-AU"/>
        </w:rPr>
      </w:pPr>
      <w:hyperlink w:anchor="_Toc95905334" w:history="1">
        <w:r w:rsidRPr="00374BD7">
          <w:rPr>
            <w:rStyle w:val="Hyperlink"/>
            <w:noProof/>
          </w:rPr>
          <w:t xml:space="preserve">Section 3 – </w:t>
        </w:r>
        <w:r w:rsidRPr="00374BD7">
          <w:rPr>
            <w:rStyle w:val="Hyperlink"/>
            <w:rFonts w:cs="Calibri"/>
            <w:noProof/>
          </w:rPr>
          <w:t>Prescribing the Initial Dose</w:t>
        </w:r>
        <w:r>
          <w:rPr>
            <w:noProof/>
            <w:webHidden/>
          </w:rPr>
          <w:tab/>
        </w:r>
        <w:r>
          <w:rPr>
            <w:noProof/>
            <w:webHidden/>
          </w:rPr>
          <w:fldChar w:fldCharType="begin"/>
        </w:r>
        <w:r>
          <w:rPr>
            <w:noProof/>
            <w:webHidden/>
          </w:rPr>
          <w:instrText xml:space="preserve"> PAGEREF _Toc95905334 \h </w:instrText>
        </w:r>
        <w:r>
          <w:rPr>
            <w:noProof/>
            <w:webHidden/>
          </w:rPr>
        </w:r>
        <w:r>
          <w:rPr>
            <w:noProof/>
            <w:webHidden/>
          </w:rPr>
          <w:fldChar w:fldCharType="separate"/>
        </w:r>
        <w:r>
          <w:rPr>
            <w:noProof/>
            <w:webHidden/>
          </w:rPr>
          <w:t>4</w:t>
        </w:r>
        <w:r>
          <w:rPr>
            <w:noProof/>
            <w:webHidden/>
          </w:rPr>
          <w:fldChar w:fldCharType="end"/>
        </w:r>
      </w:hyperlink>
    </w:p>
    <w:p w14:paraId="6B46FBAC" w14:textId="58135684" w:rsidR="00136669" w:rsidRDefault="00136669">
      <w:pPr>
        <w:pStyle w:val="TOC1"/>
        <w:tabs>
          <w:tab w:val="right" w:leader="dot" w:pos="9060"/>
        </w:tabs>
        <w:rPr>
          <w:rFonts w:eastAsiaTheme="minorEastAsia" w:cstheme="minorBidi"/>
          <w:noProof/>
          <w:sz w:val="22"/>
          <w:szCs w:val="22"/>
          <w:lang w:eastAsia="en-AU"/>
        </w:rPr>
      </w:pPr>
      <w:hyperlink w:anchor="_Toc95905335" w:history="1">
        <w:r w:rsidRPr="00374BD7">
          <w:rPr>
            <w:rStyle w:val="Hyperlink"/>
            <w:noProof/>
          </w:rPr>
          <w:t>Section 4 – Therapeutic Drug Monitoring (TDM)</w:t>
        </w:r>
        <w:r>
          <w:rPr>
            <w:noProof/>
            <w:webHidden/>
          </w:rPr>
          <w:tab/>
        </w:r>
        <w:r>
          <w:rPr>
            <w:noProof/>
            <w:webHidden/>
          </w:rPr>
          <w:fldChar w:fldCharType="begin"/>
        </w:r>
        <w:r>
          <w:rPr>
            <w:noProof/>
            <w:webHidden/>
          </w:rPr>
          <w:instrText xml:space="preserve"> PAGEREF _Toc95905335 \h </w:instrText>
        </w:r>
        <w:r>
          <w:rPr>
            <w:noProof/>
            <w:webHidden/>
          </w:rPr>
        </w:r>
        <w:r>
          <w:rPr>
            <w:noProof/>
            <w:webHidden/>
          </w:rPr>
          <w:fldChar w:fldCharType="separate"/>
        </w:r>
        <w:r>
          <w:rPr>
            <w:noProof/>
            <w:webHidden/>
          </w:rPr>
          <w:t>5</w:t>
        </w:r>
        <w:r>
          <w:rPr>
            <w:noProof/>
            <w:webHidden/>
          </w:rPr>
          <w:fldChar w:fldCharType="end"/>
        </w:r>
      </w:hyperlink>
    </w:p>
    <w:p w14:paraId="1D31DA6A" w14:textId="2F92FF57" w:rsidR="00136669" w:rsidRDefault="00136669">
      <w:pPr>
        <w:pStyle w:val="TOC1"/>
        <w:tabs>
          <w:tab w:val="right" w:leader="dot" w:pos="9060"/>
        </w:tabs>
        <w:rPr>
          <w:rFonts w:eastAsiaTheme="minorEastAsia" w:cstheme="minorBidi"/>
          <w:noProof/>
          <w:sz w:val="22"/>
          <w:szCs w:val="22"/>
          <w:lang w:eastAsia="en-AU"/>
        </w:rPr>
      </w:pPr>
      <w:hyperlink w:anchor="_Toc95905336" w:history="1">
        <w:r w:rsidRPr="00374BD7">
          <w:rPr>
            <w:rStyle w:val="Hyperlink"/>
            <w:noProof/>
          </w:rPr>
          <w:t>Section 5 – Incompatibilities and Interactions</w:t>
        </w:r>
        <w:r>
          <w:rPr>
            <w:noProof/>
            <w:webHidden/>
          </w:rPr>
          <w:tab/>
        </w:r>
        <w:r>
          <w:rPr>
            <w:noProof/>
            <w:webHidden/>
          </w:rPr>
          <w:fldChar w:fldCharType="begin"/>
        </w:r>
        <w:r>
          <w:rPr>
            <w:noProof/>
            <w:webHidden/>
          </w:rPr>
          <w:instrText xml:space="preserve"> PAGEREF _Toc95905336 \h </w:instrText>
        </w:r>
        <w:r>
          <w:rPr>
            <w:noProof/>
            <w:webHidden/>
          </w:rPr>
        </w:r>
        <w:r>
          <w:rPr>
            <w:noProof/>
            <w:webHidden/>
          </w:rPr>
          <w:fldChar w:fldCharType="separate"/>
        </w:r>
        <w:r>
          <w:rPr>
            <w:noProof/>
            <w:webHidden/>
          </w:rPr>
          <w:t>7</w:t>
        </w:r>
        <w:r>
          <w:rPr>
            <w:noProof/>
            <w:webHidden/>
          </w:rPr>
          <w:fldChar w:fldCharType="end"/>
        </w:r>
      </w:hyperlink>
    </w:p>
    <w:p w14:paraId="1C94E1C3" w14:textId="138CD734" w:rsidR="00136669" w:rsidRDefault="00136669">
      <w:pPr>
        <w:pStyle w:val="TOC1"/>
        <w:tabs>
          <w:tab w:val="right" w:leader="dot" w:pos="9060"/>
        </w:tabs>
        <w:rPr>
          <w:rFonts w:eastAsiaTheme="minorEastAsia" w:cstheme="minorBidi"/>
          <w:noProof/>
          <w:sz w:val="22"/>
          <w:szCs w:val="22"/>
          <w:lang w:eastAsia="en-AU"/>
        </w:rPr>
      </w:pPr>
      <w:hyperlink w:anchor="_Toc95905337" w:history="1">
        <w:r w:rsidRPr="00374BD7">
          <w:rPr>
            <w:rStyle w:val="Hyperlink"/>
            <w:noProof/>
          </w:rPr>
          <w:t>Section 6 – Adverse Effects</w:t>
        </w:r>
        <w:r>
          <w:rPr>
            <w:noProof/>
            <w:webHidden/>
          </w:rPr>
          <w:tab/>
        </w:r>
        <w:r>
          <w:rPr>
            <w:noProof/>
            <w:webHidden/>
          </w:rPr>
          <w:fldChar w:fldCharType="begin"/>
        </w:r>
        <w:r>
          <w:rPr>
            <w:noProof/>
            <w:webHidden/>
          </w:rPr>
          <w:instrText xml:space="preserve"> PAGEREF _Toc95905337 \h </w:instrText>
        </w:r>
        <w:r>
          <w:rPr>
            <w:noProof/>
            <w:webHidden/>
          </w:rPr>
        </w:r>
        <w:r>
          <w:rPr>
            <w:noProof/>
            <w:webHidden/>
          </w:rPr>
          <w:fldChar w:fldCharType="separate"/>
        </w:r>
        <w:r>
          <w:rPr>
            <w:noProof/>
            <w:webHidden/>
          </w:rPr>
          <w:t>7</w:t>
        </w:r>
        <w:r>
          <w:rPr>
            <w:noProof/>
            <w:webHidden/>
          </w:rPr>
          <w:fldChar w:fldCharType="end"/>
        </w:r>
      </w:hyperlink>
    </w:p>
    <w:p w14:paraId="16A5B3BC" w14:textId="4437AF6F" w:rsidR="00136669" w:rsidRDefault="00136669">
      <w:pPr>
        <w:pStyle w:val="TOC1"/>
        <w:tabs>
          <w:tab w:val="right" w:leader="dot" w:pos="9060"/>
        </w:tabs>
        <w:rPr>
          <w:rFonts w:eastAsiaTheme="minorEastAsia" w:cstheme="minorBidi"/>
          <w:noProof/>
          <w:sz w:val="22"/>
          <w:szCs w:val="22"/>
          <w:lang w:eastAsia="en-AU"/>
        </w:rPr>
      </w:pPr>
      <w:hyperlink w:anchor="_Toc95905338" w:history="1">
        <w:r w:rsidRPr="00374BD7">
          <w:rPr>
            <w:rStyle w:val="Hyperlink"/>
            <w:noProof/>
          </w:rPr>
          <w:t>Evaluation</w:t>
        </w:r>
        <w:r>
          <w:rPr>
            <w:noProof/>
            <w:webHidden/>
          </w:rPr>
          <w:tab/>
        </w:r>
        <w:r>
          <w:rPr>
            <w:noProof/>
            <w:webHidden/>
          </w:rPr>
          <w:fldChar w:fldCharType="begin"/>
        </w:r>
        <w:r>
          <w:rPr>
            <w:noProof/>
            <w:webHidden/>
          </w:rPr>
          <w:instrText xml:space="preserve"> PAGEREF _Toc95905338 \h </w:instrText>
        </w:r>
        <w:r>
          <w:rPr>
            <w:noProof/>
            <w:webHidden/>
          </w:rPr>
        </w:r>
        <w:r>
          <w:rPr>
            <w:noProof/>
            <w:webHidden/>
          </w:rPr>
          <w:fldChar w:fldCharType="separate"/>
        </w:r>
        <w:r>
          <w:rPr>
            <w:noProof/>
            <w:webHidden/>
          </w:rPr>
          <w:t>8</w:t>
        </w:r>
        <w:r>
          <w:rPr>
            <w:noProof/>
            <w:webHidden/>
          </w:rPr>
          <w:fldChar w:fldCharType="end"/>
        </w:r>
      </w:hyperlink>
    </w:p>
    <w:p w14:paraId="6DECE81E" w14:textId="241BC29C" w:rsidR="00136669" w:rsidRDefault="00136669">
      <w:pPr>
        <w:pStyle w:val="TOC1"/>
        <w:tabs>
          <w:tab w:val="right" w:leader="dot" w:pos="9060"/>
        </w:tabs>
        <w:rPr>
          <w:rFonts w:eastAsiaTheme="minorEastAsia" w:cstheme="minorBidi"/>
          <w:noProof/>
          <w:sz w:val="22"/>
          <w:szCs w:val="22"/>
          <w:lang w:eastAsia="en-AU"/>
        </w:rPr>
      </w:pPr>
      <w:hyperlink w:anchor="_Toc95905339" w:history="1">
        <w:r w:rsidRPr="00374BD7">
          <w:rPr>
            <w:rStyle w:val="Hyperlink"/>
            <w:noProof/>
          </w:rPr>
          <w:t>Related Policies, Procedures, Guidelines and Legislation</w:t>
        </w:r>
        <w:r>
          <w:rPr>
            <w:noProof/>
            <w:webHidden/>
          </w:rPr>
          <w:tab/>
        </w:r>
        <w:r>
          <w:rPr>
            <w:noProof/>
            <w:webHidden/>
          </w:rPr>
          <w:fldChar w:fldCharType="begin"/>
        </w:r>
        <w:r>
          <w:rPr>
            <w:noProof/>
            <w:webHidden/>
          </w:rPr>
          <w:instrText xml:space="preserve"> PAGEREF _Toc95905339 \h </w:instrText>
        </w:r>
        <w:r>
          <w:rPr>
            <w:noProof/>
            <w:webHidden/>
          </w:rPr>
        </w:r>
        <w:r>
          <w:rPr>
            <w:noProof/>
            <w:webHidden/>
          </w:rPr>
          <w:fldChar w:fldCharType="separate"/>
        </w:r>
        <w:r>
          <w:rPr>
            <w:noProof/>
            <w:webHidden/>
          </w:rPr>
          <w:t>8</w:t>
        </w:r>
        <w:r>
          <w:rPr>
            <w:noProof/>
            <w:webHidden/>
          </w:rPr>
          <w:fldChar w:fldCharType="end"/>
        </w:r>
      </w:hyperlink>
    </w:p>
    <w:p w14:paraId="3491C946" w14:textId="33F38A0C" w:rsidR="00136669" w:rsidRDefault="00136669">
      <w:pPr>
        <w:pStyle w:val="TOC1"/>
        <w:tabs>
          <w:tab w:val="right" w:leader="dot" w:pos="9060"/>
        </w:tabs>
        <w:rPr>
          <w:rFonts w:eastAsiaTheme="minorEastAsia" w:cstheme="minorBidi"/>
          <w:noProof/>
          <w:sz w:val="22"/>
          <w:szCs w:val="22"/>
          <w:lang w:eastAsia="en-AU"/>
        </w:rPr>
      </w:pPr>
      <w:hyperlink w:anchor="_Toc95905340" w:history="1">
        <w:r w:rsidRPr="00374BD7">
          <w:rPr>
            <w:rStyle w:val="Hyperlink"/>
            <w:noProof/>
          </w:rPr>
          <w:t>References</w:t>
        </w:r>
        <w:r>
          <w:rPr>
            <w:noProof/>
            <w:webHidden/>
          </w:rPr>
          <w:tab/>
        </w:r>
        <w:r>
          <w:rPr>
            <w:noProof/>
            <w:webHidden/>
          </w:rPr>
          <w:fldChar w:fldCharType="begin"/>
        </w:r>
        <w:r>
          <w:rPr>
            <w:noProof/>
            <w:webHidden/>
          </w:rPr>
          <w:instrText xml:space="preserve"> PAGEREF _Toc95905340 \h </w:instrText>
        </w:r>
        <w:r>
          <w:rPr>
            <w:noProof/>
            <w:webHidden/>
          </w:rPr>
        </w:r>
        <w:r>
          <w:rPr>
            <w:noProof/>
            <w:webHidden/>
          </w:rPr>
          <w:fldChar w:fldCharType="separate"/>
        </w:r>
        <w:r>
          <w:rPr>
            <w:noProof/>
            <w:webHidden/>
          </w:rPr>
          <w:t>9</w:t>
        </w:r>
        <w:r>
          <w:rPr>
            <w:noProof/>
            <w:webHidden/>
          </w:rPr>
          <w:fldChar w:fldCharType="end"/>
        </w:r>
      </w:hyperlink>
    </w:p>
    <w:p w14:paraId="57E35E5E" w14:textId="17A5DA6A" w:rsidR="00136669" w:rsidRDefault="00136669">
      <w:pPr>
        <w:pStyle w:val="TOC1"/>
        <w:tabs>
          <w:tab w:val="right" w:leader="dot" w:pos="9060"/>
        </w:tabs>
        <w:rPr>
          <w:rFonts w:eastAsiaTheme="minorEastAsia" w:cstheme="minorBidi"/>
          <w:noProof/>
          <w:sz w:val="22"/>
          <w:szCs w:val="22"/>
          <w:lang w:eastAsia="en-AU"/>
        </w:rPr>
      </w:pPr>
      <w:hyperlink w:anchor="_Toc95905341" w:history="1">
        <w:r w:rsidRPr="00374BD7">
          <w:rPr>
            <w:rStyle w:val="Hyperlink"/>
            <w:noProof/>
          </w:rPr>
          <w:t>Definition of Terms</w:t>
        </w:r>
        <w:r>
          <w:rPr>
            <w:noProof/>
            <w:webHidden/>
          </w:rPr>
          <w:tab/>
        </w:r>
        <w:r>
          <w:rPr>
            <w:noProof/>
            <w:webHidden/>
          </w:rPr>
          <w:fldChar w:fldCharType="begin"/>
        </w:r>
        <w:r>
          <w:rPr>
            <w:noProof/>
            <w:webHidden/>
          </w:rPr>
          <w:instrText xml:space="preserve"> PAGEREF _Toc95905341 \h </w:instrText>
        </w:r>
        <w:r>
          <w:rPr>
            <w:noProof/>
            <w:webHidden/>
          </w:rPr>
        </w:r>
        <w:r>
          <w:rPr>
            <w:noProof/>
            <w:webHidden/>
          </w:rPr>
          <w:fldChar w:fldCharType="separate"/>
        </w:r>
        <w:r>
          <w:rPr>
            <w:noProof/>
            <w:webHidden/>
          </w:rPr>
          <w:t>9</w:t>
        </w:r>
        <w:r>
          <w:rPr>
            <w:noProof/>
            <w:webHidden/>
          </w:rPr>
          <w:fldChar w:fldCharType="end"/>
        </w:r>
      </w:hyperlink>
    </w:p>
    <w:p w14:paraId="48A8111E" w14:textId="213BC712" w:rsidR="00136669" w:rsidRDefault="00136669">
      <w:pPr>
        <w:pStyle w:val="TOC1"/>
        <w:tabs>
          <w:tab w:val="right" w:leader="dot" w:pos="9060"/>
        </w:tabs>
        <w:rPr>
          <w:rFonts w:eastAsiaTheme="minorEastAsia" w:cstheme="minorBidi"/>
          <w:noProof/>
          <w:sz w:val="22"/>
          <w:szCs w:val="22"/>
          <w:lang w:eastAsia="en-AU"/>
        </w:rPr>
      </w:pPr>
      <w:hyperlink w:anchor="_Toc95905342" w:history="1">
        <w:r w:rsidRPr="00374BD7">
          <w:rPr>
            <w:rStyle w:val="Hyperlink"/>
            <w:noProof/>
          </w:rPr>
          <w:t>Search Terms</w:t>
        </w:r>
        <w:r>
          <w:rPr>
            <w:noProof/>
            <w:webHidden/>
          </w:rPr>
          <w:tab/>
        </w:r>
        <w:r>
          <w:rPr>
            <w:noProof/>
            <w:webHidden/>
          </w:rPr>
          <w:fldChar w:fldCharType="begin"/>
        </w:r>
        <w:r>
          <w:rPr>
            <w:noProof/>
            <w:webHidden/>
          </w:rPr>
          <w:instrText xml:space="preserve"> PAGEREF _Toc95905342 \h </w:instrText>
        </w:r>
        <w:r>
          <w:rPr>
            <w:noProof/>
            <w:webHidden/>
          </w:rPr>
        </w:r>
        <w:r>
          <w:rPr>
            <w:noProof/>
            <w:webHidden/>
          </w:rPr>
          <w:fldChar w:fldCharType="separate"/>
        </w:r>
        <w:r>
          <w:rPr>
            <w:noProof/>
            <w:webHidden/>
          </w:rPr>
          <w:t>9</w:t>
        </w:r>
        <w:r>
          <w:rPr>
            <w:noProof/>
            <w:webHidden/>
          </w:rPr>
          <w:fldChar w:fldCharType="end"/>
        </w:r>
      </w:hyperlink>
    </w:p>
    <w:p w14:paraId="72A584FC" w14:textId="4982D2F5" w:rsidR="00136669" w:rsidRDefault="00136669">
      <w:pPr>
        <w:pStyle w:val="TOC1"/>
        <w:tabs>
          <w:tab w:val="right" w:leader="dot" w:pos="9060"/>
        </w:tabs>
        <w:rPr>
          <w:rFonts w:eastAsiaTheme="minorEastAsia" w:cstheme="minorBidi"/>
          <w:noProof/>
          <w:sz w:val="22"/>
          <w:szCs w:val="22"/>
          <w:lang w:eastAsia="en-AU"/>
        </w:rPr>
      </w:pPr>
      <w:hyperlink w:anchor="_Toc95905343" w:history="1">
        <w:r w:rsidRPr="00374BD7">
          <w:rPr>
            <w:rStyle w:val="Hyperlink"/>
            <w:noProof/>
          </w:rPr>
          <w:t>Attachments</w:t>
        </w:r>
        <w:r>
          <w:rPr>
            <w:noProof/>
            <w:webHidden/>
          </w:rPr>
          <w:tab/>
        </w:r>
        <w:r>
          <w:rPr>
            <w:noProof/>
            <w:webHidden/>
          </w:rPr>
          <w:fldChar w:fldCharType="begin"/>
        </w:r>
        <w:r>
          <w:rPr>
            <w:noProof/>
            <w:webHidden/>
          </w:rPr>
          <w:instrText xml:space="preserve"> PAGEREF _Toc95905343 \h </w:instrText>
        </w:r>
        <w:r>
          <w:rPr>
            <w:noProof/>
            <w:webHidden/>
          </w:rPr>
        </w:r>
        <w:r>
          <w:rPr>
            <w:noProof/>
            <w:webHidden/>
          </w:rPr>
          <w:fldChar w:fldCharType="separate"/>
        </w:r>
        <w:r>
          <w:rPr>
            <w:noProof/>
            <w:webHidden/>
          </w:rPr>
          <w:t>10</w:t>
        </w:r>
        <w:r>
          <w:rPr>
            <w:noProof/>
            <w:webHidden/>
          </w:rPr>
          <w:fldChar w:fldCharType="end"/>
        </w:r>
      </w:hyperlink>
    </w:p>
    <w:p w14:paraId="6FDE9197" w14:textId="52EBB6A0" w:rsidR="000005EF" w:rsidRDefault="000005EF" w:rsidP="000005EF">
      <w:pPr>
        <w:rPr>
          <w:rFonts w:cs="Arial"/>
          <w:b/>
          <w:sz w:val="36"/>
          <w:szCs w:val="36"/>
        </w:rPr>
      </w:pPr>
      <w:r>
        <w:rPr>
          <w:rFonts w:cs="Arial"/>
          <w:b/>
          <w:sz w:val="36"/>
          <w:szCs w:val="36"/>
        </w:rPr>
        <w:fldChar w:fldCharType="end"/>
      </w:r>
    </w:p>
    <w:p w14:paraId="4884393A" w14:textId="77777777" w:rsidR="000005EF" w:rsidRDefault="000005EF" w:rsidP="000005EF">
      <w:pPr>
        <w:spacing w:after="200" w:line="276" w:lineRule="auto"/>
        <w:rPr>
          <w:rFonts w:cs="Arial"/>
          <w:b/>
          <w:sz w:val="36"/>
          <w:szCs w:val="36"/>
        </w:rPr>
      </w:pPr>
      <w:r>
        <w:rPr>
          <w:rFonts w:cs="Arial"/>
          <w:b/>
          <w:sz w:val="36"/>
          <w:szCs w:val="36"/>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1B2BAC" w14:paraId="3B13CBEB" w14:textId="77777777" w:rsidTr="00E52F47">
        <w:trPr>
          <w:cantSplit/>
          <w:trHeight w:val="285"/>
        </w:trPr>
        <w:tc>
          <w:tcPr>
            <w:tcW w:w="9158" w:type="dxa"/>
            <w:shd w:val="clear" w:color="auto" w:fill="D9D9D9" w:themeFill="background1" w:themeFillShade="D9"/>
          </w:tcPr>
          <w:p w14:paraId="13944B27" w14:textId="77777777" w:rsidR="000005EF" w:rsidRPr="002E3BFE" w:rsidRDefault="000005EF" w:rsidP="00E52F47">
            <w:pPr>
              <w:pStyle w:val="Heading1"/>
            </w:pPr>
            <w:bookmarkStart w:id="4" w:name="_Toc95905330"/>
            <w:r>
              <w:lastRenderedPageBreak/>
              <w:t>Guideline Statement</w:t>
            </w:r>
            <w:bookmarkEnd w:id="4"/>
          </w:p>
        </w:tc>
      </w:tr>
    </w:tbl>
    <w:p w14:paraId="0182CB6B" w14:textId="77777777" w:rsidR="000005EF" w:rsidRDefault="000005EF" w:rsidP="000005EF">
      <w:pPr>
        <w:rPr>
          <w:rFonts w:cs="Arial"/>
          <w:b/>
          <w:szCs w:val="24"/>
        </w:rPr>
      </w:pPr>
    </w:p>
    <w:p w14:paraId="11C28192" w14:textId="77777777" w:rsidR="000005EF" w:rsidRDefault="000005EF" w:rsidP="000005EF">
      <w:pPr>
        <w:pStyle w:val="Heading2"/>
      </w:pPr>
      <w:r>
        <w:t>Background</w:t>
      </w:r>
    </w:p>
    <w:p w14:paraId="6DF16C45" w14:textId="097FF75F" w:rsidR="000005EF" w:rsidRPr="001E5D95" w:rsidRDefault="000005EF" w:rsidP="000005EF">
      <w:pPr>
        <w:autoSpaceDE w:val="0"/>
        <w:autoSpaceDN w:val="0"/>
        <w:adjustRightInd w:val="0"/>
        <w:rPr>
          <w:rFonts w:eastAsiaTheme="minorHAnsi" w:cs="Arial"/>
          <w:color w:val="000000"/>
          <w:szCs w:val="24"/>
        </w:rPr>
      </w:pPr>
      <w:r w:rsidRPr="001E5D95">
        <w:rPr>
          <w:rFonts w:eastAsiaTheme="minorHAnsi" w:cs="Arial"/>
          <w:color w:val="000000"/>
          <w:szCs w:val="24"/>
        </w:rPr>
        <w:t xml:space="preserve">Gentamicin </w:t>
      </w:r>
      <w:r>
        <w:rPr>
          <w:rFonts w:eastAsiaTheme="minorHAnsi" w:cs="Arial"/>
          <w:color w:val="000000"/>
          <w:szCs w:val="24"/>
        </w:rPr>
        <w:t xml:space="preserve">use </w:t>
      </w:r>
      <w:r w:rsidRPr="001E5D95">
        <w:rPr>
          <w:rFonts w:eastAsiaTheme="minorHAnsi" w:cs="Arial"/>
          <w:color w:val="000000"/>
          <w:szCs w:val="24"/>
        </w:rPr>
        <w:t xml:space="preserve">is indicated in the management of suspected or proven gram-negative bacterial infections. Due to concerns </w:t>
      </w:r>
      <w:r w:rsidRPr="00F12D2C">
        <w:rPr>
          <w:rFonts w:eastAsiaTheme="minorHAnsi" w:cs="Arial"/>
          <w:color w:val="000000"/>
          <w:szCs w:val="24"/>
        </w:rPr>
        <w:t xml:space="preserve">about </w:t>
      </w:r>
      <w:r w:rsidRPr="00536F96">
        <w:rPr>
          <w:rFonts w:eastAsiaTheme="minorHAnsi" w:cs="Arial"/>
          <w:color w:val="000000"/>
          <w:szCs w:val="24"/>
        </w:rPr>
        <w:t>nephrotoxicity and ototoxicity</w:t>
      </w:r>
      <w:r w:rsidRPr="00F12D2C">
        <w:rPr>
          <w:rFonts w:eastAsiaTheme="minorHAnsi" w:cs="Arial"/>
          <w:color w:val="000000"/>
          <w:szCs w:val="24"/>
        </w:rPr>
        <w:t>,</w:t>
      </w:r>
      <w:r w:rsidRPr="001E5D95">
        <w:rPr>
          <w:rFonts w:eastAsiaTheme="minorHAnsi" w:cs="Arial"/>
          <w:color w:val="000000"/>
          <w:szCs w:val="24"/>
        </w:rPr>
        <w:t xml:space="preserve"> its use should be limited to </w:t>
      </w:r>
      <w:r>
        <w:rPr>
          <w:rFonts w:eastAsiaTheme="minorHAnsi" w:cs="Arial"/>
          <w:color w:val="000000"/>
          <w:szCs w:val="24"/>
        </w:rPr>
        <w:t>three</w:t>
      </w:r>
      <w:r w:rsidRPr="001E5D95">
        <w:rPr>
          <w:rFonts w:eastAsiaTheme="minorHAnsi" w:cs="Arial"/>
          <w:color w:val="000000"/>
          <w:szCs w:val="24"/>
        </w:rPr>
        <w:t xml:space="preserve"> doses (within </w:t>
      </w:r>
      <w:r>
        <w:rPr>
          <w:rFonts w:eastAsiaTheme="minorHAnsi" w:cs="Arial"/>
          <w:color w:val="000000"/>
          <w:szCs w:val="24"/>
        </w:rPr>
        <w:t>48</w:t>
      </w:r>
      <w:r w:rsidRPr="001E5D95">
        <w:rPr>
          <w:rFonts w:eastAsiaTheme="minorHAnsi" w:cs="Arial"/>
          <w:color w:val="000000"/>
          <w:szCs w:val="24"/>
        </w:rPr>
        <w:t xml:space="preserve"> hours duration) wherever possible</w:t>
      </w:r>
      <w:r>
        <w:rPr>
          <w:rFonts w:eastAsiaTheme="minorHAnsi" w:cs="Arial"/>
          <w:color w:val="000000"/>
          <w:szCs w:val="24"/>
        </w:rPr>
        <w:t>.</w:t>
      </w:r>
    </w:p>
    <w:p w14:paraId="61D37B2D" w14:textId="77777777" w:rsidR="000005EF" w:rsidRDefault="000005EF" w:rsidP="000005EF">
      <w:pPr>
        <w:rPr>
          <w:rFonts w:eastAsiaTheme="minorHAnsi" w:cs="Arial"/>
          <w:color w:val="000000"/>
          <w:szCs w:val="24"/>
        </w:rPr>
      </w:pPr>
    </w:p>
    <w:p w14:paraId="0929695C" w14:textId="77777777" w:rsidR="000005EF" w:rsidRDefault="000005EF" w:rsidP="000005EF">
      <w:pPr>
        <w:rPr>
          <w:rFonts w:eastAsiaTheme="minorHAnsi" w:cs="Arial"/>
          <w:color w:val="000000"/>
          <w:szCs w:val="24"/>
        </w:rPr>
      </w:pPr>
      <w:r w:rsidRPr="001E5D95">
        <w:rPr>
          <w:rFonts w:eastAsiaTheme="minorHAnsi" w:cs="Arial"/>
          <w:color w:val="000000"/>
          <w:szCs w:val="24"/>
        </w:rPr>
        <w:t xml:space="preserve">The pharmacodynamic properties of </w:t>
      </w:r>
      <w:r>
        <w:rPr>
          <w:rFonts w:eastAsiaTheme="minorHAnsi" w:cs="Arial"/>
          <w:color w:val="000000"/>
          <w:szCs w:val="24"/>
        </w:rPr>
        <w:t>gentamicin</w:t>
      </w:r>
      <w:r w:rsidRPr="001E5D95">
        <w:rPr>
          <w:rFonts w:eastAsiaTheme="minorHAnsi" w:cs="Arial"/>
          <w:color w:val="000000"/>
          <w:szCs w:val="24"/>
        </w:rPr>
        <w:t xml:space="preserve"> ma</w:t>
      </w:r>
      <w:r>
        <w:rPr>
          <w:rFonts w:eastAsiaTheme="minorHAnsi" w:cs="Arial"/>
          <w:color w:val="000000"/>
          <w:szCs w:val="24"/>
        </w:rPr>
        <w:t xml:space="preserve">ke once daily administration </w:t>
      </w:r>
      <w:r w:rsidRPr="001E5D95">
        <w:rPr>
          <w:rFonts w:eastAsiaTheme="minorHAnsi" w:cs="Arial"/>
          <w:color w:val="000000"/>
          <w:szCs w:val="24"/>
        </w:rPr>
        <w:t>preferable to the traditional divided doses approach of giving aminoglycosides (</w:t>
      </w:r>
      <w:r>
        <w:rPr>
          <w:rFonts w:eastAsiaTheme="minorHAnsi" w:cs="Arial"/>
          <w:color w:val="000000"/>
          <w:szCs w:val="24"/>
        </w:rPr>
        <w:t xml:space="preserve">e.g. </w:t>
      </w:r>
      <w:r w:rsidRPr="001E5D95">
        <w:rPr>
          <w:rFonts w:eastAsiaTheme="minorHAnsi" w:cs="Arial"/>
          <w:color w:val="000000"/>
          <w:szCs w:val="24"/>
        </w:rPr>
        <w:t>three times daily dosing)</w:t>
      </w:r>
      <w:r>
        <w:rPr>
          <w:rFonts w:eastAsiaTheme="minorHAnsi" w:cs="Arial"/>
          <w:color w:val="000000"/>
          <w:szCs w:val="24"/>
        </w:rPr>
        <w:t xml:space="preserve"> in most children</w:t>
      </w:r>
      <w:r w:rsidRPr="001E5D95">
        <w:rPr>
          <w:rFonts w:eastAsiaTheme="minorHAnsi" w:cs="Arial"/>
          <w:color w:val="000000"/>
          <w:szCs w:val="24"/>
        </w:rPr>
        <w:t>.</w:t>
      </w:r>
    </w:p>
    <w:p w14:paraId="14BB9324" w14:textId="77777777" w:rsidR="000005EF" w:rsidRPr="00010E74" w:rsidRDefault="000005EF" w:rsidP="000005EF">
      <w:pPr>
        <w:rPr>
          <w:i/>
        </w:rPr>
      </w:pPr>
    </w:p>
    <w:p w14:paraId="7B087FB3" w14:textId="77777777" w:rsidR="000005EF" w:rsidRDefault="000005EF" w:rsidP="000005EF">
      <w:pPr>
        <w:pStyle w:val="Heading2"/>
      </w:pPr>
      <w:r>
        <w:t>Key Objective</w:t>
      </w:r>
    </w:p>
    <w:p w14:paraId="1017FC01" w14:textId="77777777" w:rsidR="000005EF" w:rsidRPr="001E5D95" w:rsidRDefault="000005EF" w:rsidP="000005EF">
      <w:pPr>
        <w:jc w:val="both"/>
        <w:rPr>
          <w:rFonts w:cs="Calibri"/>
        </w:rPr>
      </w:pPr>
      <w:r w:rsidRPr="5003E18A">
        <w:rPr>
          <w:rFonts w:cs="Calibri"/>
        </w:rPr>
        <w:t>To ensure the safe prescribing, administration and therapeutic drug monitoring of the aminoglycoside antimicrobial gentamicin, in 0–16-year-old patients for the treatment of infection at Canberra Health Services (CHS).</w:t>
      </w:r>
    </w:p>
    <w:p w14:paraId="032B5D27" w14:textId="77777777" w:rsidR="000005EF" w:rsidRPr="00010E74" w:rsidRDefault="000005EF" w:rsidP="000005EF"/>
    <w:p w14:paraId="31A149C8" w14:textId="77777777" w:rsidR="000005EF" w:rsidRPr="007B6904" w:rsidRDefault="000005EF" w:rsidP="000005EF">
      <w:pPr>
        <w:pStyle w:val="Heading2"/>
        <w:pBdr>
          <w:top w:val="single" w:sz="4" w:space="1" w:color="auto"/>
          <w:left w:val="single" w:sz="4" w:space="4" w:color="auto"/>
          <w:bottom w:val="single" w:sz="4" w:space="1" w:color="auto"/>
          <w:right w:val="single" w:sz="4" w:space="4" w:color="auto"/>
        </w:pBdr>
      </w:pPr>
      <w:r>
        <w:t>Alerts</w:t>
      </w:r>
      <w:r w:rsidRPr="007B6904">
        <w:t xml:space="preserve"> </w:t>
      </w:r>
    </w:p>
    <w:p w14:paraId="1398425F" w14:textId="313D7180" w:rsidR="000005EF" w:rsidRDefault="000005EF" w:rsidP="000005EF">
      <w:pPr>
        <w:pBdr>
          <w:top w:val="single" w:sz="4" w:space="1" w:color="auto"/>
          <w:left w:val="single" w:sz="4" w:space="4" w:color="auto"/>
          <w:bottom w:val="single" w:sz="4" w:space="1" w:color="auto"/>
          <w:right w:val="single" w:sz="4" w:space="4" w:color="auto"/>
        </w:pBdr>
        <w:rPr>
          <w:iCs/>
          <w:szCs w:val="22"/>
        </w:rPr>
      </w:pPr>
      <w:r>
        <w:rPr>
          <w:iCs/>
          <w:szCs w:val="22"/>
        </w:rPr>
        <w:t>D</w:t>
      </w:r>
      <w:r w:rsidRPr="001E5D95">
        <w:rPr>
          <w:iCs/>
          <w:szCs w:val="22"/>
        </w:rPr>
        <w:t>espite monitoring and maintaining gentamicin levels within an accepted range</w:t>
      </w:r>
      <w:r>
        <w:rPr>
          <w:iCs/>
          <w:szCs w:val="22"/>
        </w:rPr>
        <w:t xml:space="preserve"> (when drug monitoring is indicated), it is possible, although uncommon,</w:t>
      </w:r>
      <w:r w:rsidRPr="001E5D95">
        <w:rPr>
          <w:iCs/>
          <w:szCs w:val="22"/>
        </w:rPr>
        <w:t xml:space="preserve"> for toxicity to occur. The most reliable way to prevent </w:t>
      </w:r>
      <w:r>
        <w:rPr>
          <w:iCs/>
          <w:szCs w:val="22"/>
        </w:rPr>
        <w:t>gentamicin toxicity is to minimis</w:t>
      </w:r>
      <w:r w:rsidRPr="001E5D95">
        <w:rPr>
          <w:iCs/>
          <w:szCs w:val="22"/>
        </w:rPr>
        <w:t xml:space="preserve">e </w:t>
      </w:r>
      <w:r>
        <w:rPr>
          <w:iCs/>
          <w:szCs w:val="22"/>
        </w:rPr>
        <w:t xml:space="preserve">its </w:t>
      </w:r>
      <w:r w:rsidRPr="001E5D95">
        <w:rPr>
          <w:iCs/>
          <w:szCs w:val="22"/>
        </w:rPr>
        <w:t xml:space="preserve">use. </w:t>
      </w:r>
      <w:r>
        <w:rPr>
          <w:iCs/>
          <w:szCs w:val="22"/>
        </w:rPr>
        <w:t>Patients with risk factors for toxicity should have therapeutic drug monitoring (TDM).</w:t>
      </w:r>
    </w:p>
    <w:p w14:paraId="1D38065B" w14:textId="77777777" w:rsidR="00DE5216" w:rsidRPr="001E5D95" w:rsidRDefault="00DE5216" w:rsidP="000005EF">
      <w:pPr>
        <w:pBdr>
          <w:top w:val="single" w:sz="4" w:space="1" w:color="auto"/>
          <w:left w:val="single" w:sz="4" w:space="4" w:color="auto"/>
          <w:bottom w:val="single" w:sz="4" w:space="1" w:color="auto"/>
          <w:right w:val="single" w:sz="4" w:space="4" w:color="auto"/>
        </w:pBdr>
        <w:rPr>
          <w:sz w:val="28"/>
        </w:rPr>
      </w:pPr>
    </w:p>
    <w:p w14:paraId="5336F048" w14:textId="77777777" w:rsidR="000005EF" w:rsidRDefault="000005EF" w:rsidP="000005EF">
      <w:pPr>
        <w:jc w:val="right"/>
      </w:pPr>
    </w:p>
    <w:p w14:paraId="7DACD5B7" w14:textId="77777777" w:rsidR="000005EF" w:rsidRDefault="00330BA3" w:rsidP="000005EF">
      <w:pPr>
        <w:jc w:val="right"/>
      </w:pPr>
      <w:hyperlink w:anchor="Contents" w:history="1">
        <w:r w:rsidR="000005EF"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1B2BAC" w14:paraId="299EC6A7" w14:textId="77777777" w:rsidTr="00E52F47">
        <w:trPr>
          <w:cantSplit/>
          <w:trHeight w:val="285"/>
        </w:trPr>
        <w:tc>
          <w:tcPr>
            <w:tcW w:w="9158" w:type="dxa"/>
            <w:shd w:val="clear" w:color="auto" w:fill="D9D9D9" w:themeFill="background1" w:themeFillShade="D9"/>
          </w:tcPr>
          <w:p w14:paraId="6A8FCC55" w14:textId="77777777" w:rsidR="000005EF" w:rsidRPr="002E3BFE" w:rsidRDefault="000005EF" w:rsidP="00E52F47">
            <w:pPr>
              <w:pStyle w:val="Heading1"/>
            </w:pPr>
            <w:bookmarkStart w:id="5" w:name="_Toc95905331"/>
            <w:r>
              <w:t>Scope</w:t>
            </w:r>
            <w:bookmarkEnd w:id="5"/>
          </w:p>
        </w:tc>
      </w:tr>
    </w:tbl>
    <w:p w14:paraId="4B37AC1D" w14:textId="77777777" w:rsidR="000005EF" w:rsidRDefault="000005EF" w:rsidP="000005EF"/>
    <w:p w14:paraId="31D2BE43" w14:textId="77777777" w:rsidR="000005EF" w:rsidRDefault="000005EF" w:rsidP="000005EF">
      <w:pPr>
        <w:rPr>
          <w:rFonts w:cs="Calibri"/>
          <w:szCs w:val="24"/>
        </w:rPr>
      </w:pPr>
      <w:r>
        <w:rPr>
          <w:rFonts w:cs="Calibri"/>
          <w:szCs w:val="24"/>
        </w:rPr>
        <w:t>The document applies to CHS staff working within their scope of practice that prescribe, administer, monitor or advise on the use of once daily gentamicin in paediatric patients at CHS.</w:t>
      </w:r>
    </w:p>
    <w:p w14:paraId="7CD9CF20" w14:textId="77777777" w:rsidR="000005EF" w:rsidRDefault="000005EF" w:rsidP="000005EF">
      <w:pPr>
        <w:rPr>
          <w:rFonts w:cs="Calibri"/>
          <w:szCs w:val="24"/>
        </w:rPr>
      </w:pPr>
    </w:p>
    <w:p w14:paraId="4AEC0712" w14:textId="77777777" w:rsidR="000005EF" w:rsidRDefault="000005EF" w:rsidP="000005EF">
      <w:pPr>
        <w:rPr>
          <w:rFonts w:cs="Calibri"/>
          <w:szCs w:val="24"/>
        </w:rPr>
      </w:pPr>
      <w:r>
        <w:rPr>
          <w:rFonts w:cs="Calibri"/>
          <w:szCs w:val="24"/>
        </w:rPr>
        <w:t>This procedure does not apply to:</w:t>
      </w:r>
    </w:p>
    <w:p w14:paraId="5BD80E89" w14:textId="7DB80BE1" w:rsidR="000005EF" w:rsidRPr="000005EF" w:rsidRDefault="000005EF" w:rsidP="000005EF">
      <w:pPr>
        <w:pStyle w:val="ListBullet"/>
        <w:tabs>
          <w:tab w:val="clear" w:pos="1080"/>
        </w:tabs>
        <w:ind w:left="360" w:hanging="360"/>
        <w:rPr>
          <w:rFonts w:asciiTheme="minorHAnsi" w:eastAsiaTheme="minorEastAsia" w:hAnsiTheme="minorHAnsi" w:cstheme="minorBidi"/>
          <w:i/>
          <w:iCs/>
          <w:szCs w:val="24"/>
        </w:rPr>
      </w:pPr>
      <w:r>
        <w:t xml:space="preserve">Adults: </w:t>
      </w:r>
      <w:r w:rsidR="00194477">
        <w:t xml:space="preserve">Refer to </w:t>
      </w:r>
      <w:r w:rsidRPr="000005EF">
        <w:rPr>
          <w:i/>
          <w:iCs/>
        </w:rPr>
        <w:t xml:space="preserve">Intravenous Dosing and Monitoring of Aminoglycosides in Adults </w:t>
      </w:r>
    </w:p>
    <w:p w14:paraId="0AB2852D" w14:textId="77777777" w:rsidR="000005EF" w:rsidRDefault="000005EF" w:rsidP="000005EF">
      <w:pPr>
        <w:pStyle w:val="ListBullet"/>
        <w:tabs>
          <w:tab w:val="clear" w:pos="1080"/>
          <w:tab w:val="num" w:pos="360"/>
        </w:tabs>
        <w:ind w:left="360" w:hanging="360"/>
      </w:pPr>
      <w:r>
        <w:t>Patients admitted to the Neonatal Intensive Care Unit or Special Care Nursery</w:t>
      </w:r>
    </w:p>
    <w:p w14:paraId="7DABB5EF" w14:textId="77777777" w:rsidR="000005EF" w:rsidRDefault="000005EF" w:rsidP="000005EF">
      <w:pPr>
        <w:pStyle w:val="ListBullet"/>
        <w:tabs>
          <w:tab w:val="clear" w:pos="1080"/>
          <w:tab w:val="num" w:pos="360"/>
        </w:tabs>
        <w:ind w:left="360" w:hanging="360"/>
      </w:pPr>
      <w:r>
        <w:t>Greater frequency than once daily dosing, e.g. treatment of bacterial endocarditis- seek advice from Infectious Diseases.</w:t>
      </w:r>
    </w:p>
    <w:p w14:paraId="3F6F8092" w14:textId="6C38C1EE" w:rsidR="000005EF" w:rsidRDefault="000005EF" w:rsidP="000005EF">
      <w:pPr>
        <w:pStyle w:val="ListBullet"/>
        <w:tabs>
          <w:tab w:val="clear" w:pos="1080"/>
        </w:tabs>
        <w:ind w:left="360" w:hanging="360"/>
      </w:pPr>
      <w:r>
        <w:t>Routes of administration other than intravenous (IV) or intramuscular (IM) e.g. intra-peritoneal, oral or inhaled gentamicin</w:t>
      </w:r>
    </w:p>
    <w:p w14:paraId="33A42680" w14:textId="77777777" w:rsidR="000005EF" w:rsidRPr="00D62EEC" w:rsidRDefault="000005EF" w:rsidP="000005EF">
      <w:pPr>
        <w:pStyle w:val="ListBullet"/>
        <w:tabs>
          <w:tab w:val="clear" w:pos="1080"/>
          <w:tab w:val="num" w:pos="360"/>
        </w:tabs>
        <w:ind w:left="360" w:hanging="360"/>
        <w:rPr>
          <w:rFonts w:asciiTheme="minorHAnsi" w:eastAsiaTheme="minorEastAsia" w:hAnsiTheme="minorHAnsi" w:cstheme="minorBidi"/>
          <w:szCs w:val="24"/>
        </w:rPr>
      </w:pPr>
      <w:r>
        <w:t>Patients with Cystic Fibrosis- seek advice from their Respiratory Specialist</w:t>
      </w:r>
    </w:p>
    <w:p w14:paraId="3B65BE96" w14:textId="77777777" w:rsidR="000005EF" w:rsidRDefault="000005EF" w:rsidP="000005EF"/>
    <w:p w14:paraId="494D6246" w14:textId="77777777" w:rsidR="000005EF" w:rsidRDefault="000005EF" w:rsidP="000005EF"/>
    <w:p w14:paraId="38BFF2D8" w14:textId="77777777" w:rsidR="000005EF" w:rsidRPr="005C5492" w:rsidRDefault="00330BA3" w:rsidP="000005EF">
      <w:pPr>
        <w:jc w:val="right"/>
        <w:rPr>
          <w:rFonts w:cs="Arial"/>
          <w:szCs w:val="24"/>
        </w:rPr>
      </w:pPr>
      <w:hyperlink w:anchor="Contents" w:history="1">
        <w:r w:rsidR="000005EF" w:rsidRPr="00C91F3F">
          <w:rPr>
            <w:rStyle w:val="Hyperlink"/>
            <w:rFonts w:eastAsiaTheme="majorEastAsia" w:cs="Arial"/>
            <w:i/>
            <w:szCs w:val="24"/>
          </w:rPr>
          <w:t>Back to Table of Contents</w:t>
        </w:r>
      </w:hyperlink>
      <w:r w:rsidR="000005EF">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CD1C0E" w14:paraId="00EA9CC2" w14:textId="77777777" w:rsidTr="00E52F47">
        <w:trPr>
          <w:cantSplit/>
          <w:trHeight w:val="285"/>
        </w:trPr>
        <w:tc>
          <w:tcPr>
            <w:tcW w:w="9158" w:type="dxa"/>
            <w:shd w:val="clear" w:color="auto" w:fill="D9D9D9" w:themeFill="background1" w:themeFillShade="D9"/>
          </w:tcPr>
          <w:p w14:paraId="36D41306" w14:textId="77777777" w:rsidR="000005EF" w:rsidRPr="00C76688" w:rsidRDefault="000005EF" w:rsidP="00E52F47">
            <w:pPr>
              <w:pStyle w:val="Heading1"/>
            </w:pPr>
            <w:bookmarkStart w:id="6" w:name="_Toc389473281"/>
            <w:bookmarkStart w:id="7" w:name="_Toc393203337"/>
            <w:bookmarkStart w:id="8" w:name="_Toc95905332"/>
            <w:r>
              <w:lastRenderedPageBreak/>
              <w:t>Section 1</w:t>
            </w:r>
            <w:r w:rsidRPr="00C76688">
              <w:t xml:space="preserve"> – </w:t>
            </w:r>
            <w:bookmarkEnd w:id="6"/>
            <w:bookmarkEnd w:id="7"/>
            <w:r>
              <w:t>Indications, Contraindications and Precautions</w:t>
            </w:r>
            <w:bookmarkEnd w:id="8"/>
          </w:p>
        </w:tc>
      </w:tr>
    </w:tbl>
    <w:p w14:paraId="438C6E35" w14:textId="77777777" w:rsidR="000005EF" w:rsidRDefault="000005EF" w:rsidP="000005EF">
      <w:pPr>
        <w:pStyle w:val="ListParagraph"/>
        <w:ind w:left="360"/>
        <w:jc w:val="both"/>
        <w:rPr>
          <w:rFonts w:cs="Calibri"/>
          <w:szCs w:val="24"/>
        </w:rPr>
      </w:pPr>
    </w:p>
    <w:p w14:paraId="7D6CB5C7" w14:textId="77777777" w:rsidR="000005EF" w:rsidRDefault="000005EF" w:rsidP="000005EF">
      <w:pPr>
        <w:pStyle w:val="Heading2"/>
      </w:pPr>
      <w:r>
        <w:t>Indications</w:t>
      </w:r>
    </w:p>
    <w:p w14:paraId="4E868662" w14:textId="77777777" w:rsidR="000005EF" w:rsidRDefault="000005EF" w:rsidP="000005EF">
      <w:pPr>
        <w:pStyle w:val="ListBullet"/>
        <w:tabs>
          <w:tab w:val="clear" w:pos="1080"/>
          <w:tab w:val="num" w:pos="360"/>
        </w:tabs>
        <w:ind w:left="360" w:hanging="360"/>
      </w:pPr>
      <w:r>
        <w:t>Empiric treatment of severe gram-negative infections (recommended maximum treatment 48 hours, 3 doses)</w:t>
      </w:r>
    </w:p>
    <w:p w14:paraId="19DE3771" w14:textId="77777777" w:rsidR="000005EF" w:rsidRDefault="000005EF" w:rsidP="000005EF">
      <w:pPr>
        <w:pStyle w:val="ListBullet"/>
        <w:tabs>
          <w:tab w:val="clear" w:pos="1080"/>
          <w:tab w:val="num" w:pos="360"/>
        </w:tabs>
        <w:ind w:left="360" w:hanging="360"/>
      </w:pPr>
      <w:r>
        <w:t>Other serious infections due to sensitive organisms that are resistant to other antimicrobials</w:t>
      </w:r>
    </w:p>
    <w:p w14:paraId="7D01BBB8" w14:textId="77777777" w:rsidR="000005EF" w:rsidRPr="005C5492" w:rsidRDefault="000005EF" w:rsidP="000005EF">
      <w:pPr>
        <w:pStyle w:val="ListBullet"/>
        <w:tabs>
          <w:tab w:val="clear" w:pos="1080"/>
          <w:tab w:val="num" w:pos="360"/>
        </w:tabs>
        <w:ind w:left="360" w:hanging="360"/>
        <w:rPr>
          <w:rStyle w:val="Hyperlink"/>
          <w:rFonts w:cs="Calibri"/>
          <w:color w:val="auto"/>
          <w:u w:val="none"/>
        </w:rPr>
      </w:pPr>
      <w:r>
        <w:t xml:space="preserve">Surgical prophylaxis per </w:t>
      </w:r>
      <w:hyperlink r:id="rId11" w:anchor="toc_d1e1481">
        <w:r w:rsidRPr="5003E18A">
          <w:rPr>
            <w:rStyle w:val="Hyperlink"/>
            <w:rFonts w:cs="Calibri"/>
          </w:rPr>
          <w:t>Therapeutic Guidelines: Antibiotic</w:t>
        </w:r>
      </w:hyperlink>
    </w:p>
    <w:p w14:paraId="468B8199" w14:textId="77777777" w:rsidR="000005EF" w:rsidRDefault="000005EF" w:rsidP="000005EF">
      <w:pPr>
        <w:jc w:val="both"/>
        <w:rPr>
          <w:rFonts w:cs="Calibri"/>
          <w:szCs w:val="24"/>
        </w:rPr>
      </w:pPr>
    </w:p>
    <w:p w14:paraId="70F798E1" w14:textId="77777777" w:rsidR="000005EF" w:rsidRDefault="000005EF" w:rsidP="000005EF">
      <w:pPr>
        <w:pStyle w:val="Heading2"/>
      </w:pPr>
      <w:r>
        <w:t>Contraindications</w:t>
      </w:r>
    </w:p>
    <w:p w14:paraId="65B0E8D2" w14:textId="77777777" w:rsidR="000005EF" w:rsidRDefault="000005EF" w:rsidP="000005EF">
      <w:pPr>
        <w:pStyle w:val="ListBullet"/>
        <w:tabs>
          <w:tab w:val="clear" w:pos="1080"/>
          <w:tab w:val="num" w:pos="360"/>
        </w:tabs>
        <w:ind w:left="360" w:hanging="360"/>
        <w:rPr>
          <w:color w:val="000000" w:themeColor="text1"/>
          <w:lang w:eastAsia="en-AU"/>
        </w:rPr>
      </w:pPr>
      <w:r w:rsidRPr="5003E18A">
        <w:rPr>
          <w:lang w:eastAsia="en-AU"/>
        </w:rPr>
        <w:t xml:space="preserve">Allergy to aminoglycosides </w:t>
      </w:r>
    </w:p>
    <w:p w14:paraId="4EE0AE82" w14:textId="77777777" w:rsidR="000005EF" w:rsidRDefault="000005EF" w:rsidP="000005EF">
      <w:pPr>
        <w:pStyle w:val="ListBullet"/>
        <w:tabs>
          <w:tab w:val="clear" w:pos="1080"/>
          <w:tab w:val="num" w:pos="360"/>
        </w:tabs>
        <w:ind w:left="360" w:hanging="360"/>
        <w:rPr>
          <w:color w:val="000000" w:themeColor="text1"/>
          <w:lang w:eastAsia="en-AU"/>
        </w:rPr>
      </w:pPr>
      <w:r w:rsidRPr="5003E18A">
        <w:rPr>
          <w:lang w:eastAsia="en-AU"/>
        </w:rPr>
        <w:t>Personal or family history of deafness caused by aminoglycosides</w:t>
      </w:r>
    </w:p>
    <w:p w14:paraId="1C93927C" w14:textId="77777777" w:rsidR="000005EF" w:rsidRPr="001030CE" w:rsidRDefault="000005EF" w:rsidP="000005EF">
      <w:pPr>
        <w:pStyle w:val="ListBullet"/>
        <w:tabs>
          <w:tab w:val="clear" w:pos="1080"/>
          <w:tab w:val="num" w:pos="360"/>
        </w:tabs>
        <w:ind w:left="360" w:hanging="360"/>
        <w:rPr>
          <w:color w:val="000000" w:themeColor="text1"/>
          <w:lang w:eastAsia="en-AU"/>
        </w:rPr>
      </w:pPr>
      <w:r w:rsidRPr="5003E18A">
        <w:rPr>
          <w:lang w:eastAsia="en-AU"/>
        </w:rPr>
        <w:t>Myasthenia gravis (due to risk of neuromuscular blockade)</w:t>
      </w:r>
    </w:p>
    <w:p w14:paraId="6467700B" w14:textId="77777777" w:rsidR="000005EF" w:rsidRDefault="000005EF" w:rsidP="000005EF"/>
    <w:p w14:paraId="6F423D65" w14:textId="77777777" w:rsidR="000005EF" w:rsidRDefault="000005EF" w:rsidP="000005EF">
      <w:pPr>
        <w:pStyle w:val="Heading2"/>
      </w:pPr>
      <w:r>
        <w:t>Precautions</w:t>
      </w:r>
    </w:p>
    <w:p w14:paraId="5B3A3F01" w14:textId="77777777" w:rsidR="000005EF" w:rsidRPr="00E06EEC" w:rsidRDefault="000005EF" w:rsidP="000005EF">
      <w:pPr>
        <w:pStyle w:val="ListBullet"/>
        <w:tabs>
          <w:tab w:val="clear" w:pos="1080"/>
          <w:tab w:val="num" w:pos="360"/>
        </w:tabs>
        <w:ind w:left="360" w:hanging="360"/>
        <w:rPr>
          <w:lang w:eastAsia="en-AU"/>
        </w:rPr>
      </w:pPr>
      <w:r>
        <w:rPr>
          <w:lang w:eastAsia="en-AU"/>
        </w:rPr>
        <w:t xml:space="preserve">Renal Impairment. A paediatric nephrologist or paediatric infectious diseases physician should be consulted in the following situations as the gentamicin dose may need to be decreased: </w:t>
      </w:r>
    </w:p>
    <w:p w14:paraId="648FF82E" w14:textId="77777777" w:rsidR="000005EF" w:rsidRDefault="000005EF" w:rsidP="000005EF">
      <w:pPr>
        <w:pStyle w:val="ListParagraph"/>
        <w:numPr>
          <w:ilvl w:val="0"/>
          <w:numId w:val="17"/>
        </w:numPr>
      </w:pPr>
      <w:r>
        <w:t xml:space="preserve">A child ≤ 1yo with an elevated creatinine </w:t>
      </w:r>
    </w:p>
    <w:p w14:paraId="0230EF5B" w14:textId="77777777" w:rsidR="000005EF" w:rsidRPr="00BB3BB0" w:rsidRDefault="000005EF" w:rsidP="000005EF">
      <w:pPr>
        <w:pStyle w:val="ListParagraph"/>
        <w:numPr>
          <w:ilvl w:val="0"/>
          <w:numId w:val="17"/>
        </w:numPr>
      </w:pPr>
      <w:r>
        <w:t xml:space="preserve">A child &gt; </w:t>
      </w:r>
      <w:r w:rsidRPr="00BB3BB0">
        <w:t xml:space="preserve">2yo with an estimated </w:t>
      </w:r>
      <w:r>
        <w:t>Glomerular Filtration Rate (e</w:t>
      </w:r>
      <w:r w:rsidRPr="00BB3BB0">
        <w:t>GFR</w:t>
      </w:r>
      <w:r>
        <w:t>)</w:t>
      </w:r>
      <w:r w:rsidRPr="00BB3BB0">
        <w:t xml:space="preserve"> less than </w:t>
      </w:r>
      <w:r>
        <w:t>5</w:t>
      </w:r>
      <w:r w:rsidRPr="00BB3BB0">
        <w:t>0mL/min/1.73m</w:t>
      </w:r>
      <w:r w:rsidRPr="002403D1">
        <w:rPr>
          <w:vertAlign w:val="superscript"/>
        </w:rPr>
        <w:t xml:space="preserve">2 </w:t>
      </w:r>
    </w:p>
    <w:p w14:paraId="2A5B2617" w14:textId="77777777" w:rsidR="000005EF" w:rsidRDefault="000005EF" w:rsidP="000005EF">
      <w:pPr>
        <w:rPr>
          <w:lang w:eastAsia="en-AU"/>
        </w:rPr>
      </w:pPr>
    </w:p>
    <w:p w14:paraId="05D10466" w14:textId="77777777" w:rsidR="000005EF" w:rsidRPr="002403D1" w:rsidRDefault="000005EF" w:rsidP="00DE5216">
      <w:pPr>
        <w:pBdr>
          <w:top w:val="single" w:sz="4" w:space="1" w:color="auto"/>
          <w:left w:val="single" w:sz="4" w:space="4" w:color="auto"/>
          <w:bottom w:val="single" w:sz="4" w:space="12" w:color="auto"/>
          <w:right w:val="single" w:sz="4" w:space="4" w:color="auto"/>
        </w:pBdr>
        <w:rPr>
          <w:lang w:eastAsia="en-AU"/>
        </w:rPr>
      </w:pPr>
      <w:r w:rsidRPr="13AE7925">
        <w:rPr>
          <w:b/>
          <w:bCs/>
          <w:lang w:eastAsia="en-AU"/>
        </w:rPr>
        <w:t>Note 1</w:t>
      </w:r>
      <w:r w:rsidRPr="13AE7925">
        <w:rPr>
          <w:lang w:eastAsia="en-AU"/>
        </w:rPr>
        <w:t>: Schwartz Formula</w:t>
      </w:r>
    </w:p>
    <w:p w14:paraId="3EA25E79" w14:textId="77777777" w:rsidR="000005EF" w:rsidRPr="002403D1" w:rsidRDefault="000005EF" w:rsidP="00DE5216">
      <w:pPr>
        <w:pBdr>
          <w:top w:val="single" w:sz="4" w:space="1" w:color="auto"/>
          <w:left w:val="single" w:sz="4" w:space="4" w:color="auto"/>
          <w:bottom w:val="single" w:sz="4" w:space="12" w:color="auto"/>
          <w:right w:val="single" w:sz="4" w:space="4" w:color="auto"/>
        </w:pBdr>
        <w:rPr>
          <w:lang w:eastAsia="en-AU"/>
        </w:rPr>
      </w:pPr>
      <w:r w:rsidRPr="002403D1">
        <w:rPr>
          <w:lang w:eastAsia="en-AU"/>
        </w:rPr>
        <w:t>eGFR</w:t>
      </w:r>
      <w:r>
        <w:rPr>
          <w:lang w:eastAsia="en-AU"/>
        </w:rPr>
        <w:t xml:space="preserve"> (</w:t>
      </w:r>
      <w:r w:rsidRPr="00BB3BB0">
        <w:t>mL/min/1.73m</w:t>
      </w:r>
      <w:r w:rsidRPr="002403D1">
        <w:rPr>
          <w:vertAlign w:val="superscript"/>
        </w:rPr>
        <w:t xml:space="preserve">2 </w:t>
      </w:r>
      <w:r>
        <w:rPr>
          <w:lang w:eastAsia="en-AU"/>
        </w:rPr>
        <w:t xml:space="preserve">) </w:t>
      </w:r>
      <w:r w:rsidRPr="002403D1">
        <w:rPr>
          <w:lang w:eastAsia="en-AU"/>
        </w:rPr>
        <w:t xml:space="preserve">= </w:t>
      </w:r>
      <w:r>
        <w:rPr>
          <w:lang w:eastAsia="en-AU"/>
        </w:rPr>
        <w:t>(</w:t>
      </w:r>
      <w:r w:rsidRPr="002403D1">
        <w:rPr>
          <w:lang w:eastAsia="en-AU"/>
        </w:rPr>
        <w:t>36.5 x height (cm)</w:t>
      </w:r>
      <w:r>
        <w:rPr>
          <w:lang w:eastAsia="en-AU"/>
        </w:rPr>
        <w:t>)</w:t>
      </w:r>
      <w:r w:rsidRPr="002403D1">
        <w:rPr>
          <w:lang w:eastAsia="en-AU"/>
        </w:rPr>
        <w:t xml:space="preserve"> / </w:t>
      </w:r>
      <w:r>
        <w:rPr>
          <w:lang w:eastAsia="en-AU"/>
        </w:rPr>
        <w:t xml:space="preserve">serum </w:t>
      </w:r>
      <w:r w:rsidRPr="002403D1">
        <w:rPr>
          <w:lang w:eastAsia="en-AU"/>
        </w:rPr>
        <w:t>creatinine (</w:t>
      </w:r>
      <w:proofErr w:type="spellStart"/>
      <w:r w:rsidRPr="002403D1">
        <w:rPr>
          <w:lang w:eastAsia="en-AU"/>
        </w:rPr>
        <w:t>micromol</w:t>
      </w:r>
      <w:proofErr w:type="spellEnd"/>
      <w:r w:rsidRPr="002403D1">
        <w:rPr>
          <w:lang w:eastAsia="en-AU"/>
        </w:rPr>
        <w:t>/L)</w:t>
      </w:r>
    </w:p>
    <w:p w14:paraId="760F223E" w14:textId="77777777" w:rsidR="000005EF" w:rsidRPr="005A50B4" w:rsidRDefault="000005EF" w:rsidP="000005EF">
      <w:pPr>
        <w:rPr>
          <w:i/>
        </w:rPr>
      </w:pPr>
    </w:p>
    <w:p w14:paraId="3DA1A001" w14:textId="77777777" w:rsidR="000005EF" w:rsidRPr="002403D1" w:rsidRDefault="000005EF" w:rsidP="000005EF">
      <w:pPr>
        <w:pStyle w:val="ListBullet"/>
        <w:tabs>
          <w:tab w:val="clear" w:pos="1080"/>
          <w:tab w:val="num" w:pos="360"/>
        </w:tabs>
        <w:ind w:left="360" w:hanging="360"/>
      </w:pPr>
      <w:r>
        <w:t xml:space="preserve">Pre-existing hearing impairment </w:t>
      </w:r>
    </w:p>
    <w:p w14:paraId="7C842D63" w14:textId="77777777" w:rsidR="000005EF" w:rsidRDefault="000005EF" w:rsidP="000005EF">
      <w:pPr>
        <w:pStyle w:val="ListBullet"/>
        <w:tabs>
          <w:tab w:val="clear" w:pos="1080"/>
          <w:tab w:val="num" w:pos="360"/>
        </w:tabs>
        <w:ind w:left="360" w:hanging="360"/>
      </w:pPr>
      <w:r>
        <w:t>Neuromuscular disease</w:t>
      </w:r>
    </w:p>
    <w:p w14:paraId="75CE25CC" w14:textId="77777777" w:rsidR="000005EF" w:rsidRPr="00E7159B" w:rsidRDefault="000005EF" w:rsidP="000005EF">
      <w:pPr>
        <w:pStyle w:val="ListBullet"/>
        <w:tabs>
          <w:tab w:val="clear" w:pos="1080"/>
          <w:tab w:val="num" w:pos="360"/>
        </w:tabs>
        <w:ind w:left="360" w:hanging="360"/>
      </w:pPr>
      <w:r>
        <w:t>Obesity- dose adjustment required (see Section 3- Prescribing the Initial Dose)</w:t>
      </w:r>
    </w:p>
    <w:p w14:paraId="008D069D" w14:textId="77777777" w:rsidR="000005EF" w:rsidRDefault="000005EF" w:rsidP="000005EF">
      <w:pPr>
        <w:pStyle w:val="ListBullet"/>
        <w:tabs>
          <w:tab w:val="clear" w:pos="1080"/>
          <w:tab w:val="num" w:pos="360"/>
        </w:tabs>
        <w:ind w:left="360" w:hanging="360"/>
      </w:pPr>
      <w:r>
        <w:t xml:space="preserve">Concurrent or recent administration of potentially </w:t>
      </w:r>
      <w:proofErr w:type="spellStart"/>
      <w:r>
        <w:t>nephro</w:t>
      </w:r>
      <w:proofErr w:type="spellEnd"/>
      <w:r>
        <w:t xml:space="preserve">- or ototoxic medications: </w:t>
      </w:r>
    </w:p>
    <w:p w14:paraId="3D43601F" w14:textId="77777777" w:rsidR="000005EF" w:rsidRPr="00E7159B" w:rsidRDefault="000005EF" w:rsidP="000005EF">
      <w:pPr>
        <w:pStyle w:val="ListParagraph"/>
        <w:numPr>
          <w:ilvl w:val="0"/>
          <w:numId w:val="17"/>
        </w:numPr>
      </w:pPr>
      <w:r>
        <w:t xml:space="preserve">Nephrotoxic agents include furosemide, vancomycin, amphotericin, cisplatin, other aminoglycosides, </w:t>
      </w:r>
      <w:proofErr w:type="spellStart"/>
      <w:r>
        <w:t>aciclovir</w:t>
      </w:r>
      <w:proofErr w:type="spellEnd"/>
      <w:r>
        <w:t xml:space="preserve">, regular use of NSAIDs </w:t>
      </w:r>
    </w:p>
    <w:p w14:paraId="5CCB49BF" w14:textId="77777777" w:rsidR="000005EF" w:rsidRPr="00E7159B" w:rsidRDefault="000005EF" w:rsidP="000005EF">
      <w:pPr>
        <w:pStyle w:val="ListParagraph"/>
        <w:numPr>
          <w:ilvl w:val="0"/>
          <w:numId w:val="17"/>
        </w:numPr>
      </w:pPr>
      <w:r>
        <w:t xml:space="preserve">Ototoxic agents include cisplatin and other aminoglycosides </w:t>
      </w:r>
    </w:p>
    <w:p w14:paraId="7DD90A70" w14:textId="77777777" w:rsidR="000005EF" w:rsidRPr="00E7159B" w:rsidRDefault="000005EF" w:rsidP="000005EF">
      <w:pPr>
        <w:pStyle w:val="ListBullet"/>
        <w:tabs>
          <w:tab w:val="clear" w:pos="1080"/>
          <w:tab w:val="num" w:pos="360"/>
        </w:tabs>
        <w:ind w:left="360" w:hanging="360"/>
        <w:rPr>
          <w:rFonts w:eastAsiaTheme="minorEastAsia"/>
        </w:rPr>
      </w:pPr>
      <w:r w:rsidRPr="5003E18A">
        <w:rPr>
          <w:rFonts w:eastAsiaTheme="minorEastAsia"/>
        </w:rPr>
        <w:t xml:space="preserve">Repeated courses of aminoglycosides (e.g. in preceding 6 months) </w:t>
      </w:r>
    </w:p>
    <w:p w14:paraId="0A7253AA" w14:textId="77777777" w:rsidR="000005EF" w:rsidRPr="00E7159B" w:rsidRDefault="000005EF" w:rsidP="000005EF">
      <w:pPr>
        <w:pStyle w:val="ListBullet"/>
        <w:tabs>
          <w:tab w:val="clear" w:pos="1080"/>
          <w:tab w:val="num" w:pos="360"/>
        </w:tabs>
        <w:ind w:left="360" w:hanging="360"/>
        <w:rPr>
          <w:rFonts w:eastAsiaTheme="minorEastAsia"/>
        </w:rPr>
      </w:pPr>
      <w:r w:rsidRPr="5003E18A">
        <w:rPr>
          <w:rFonts w:eastAsiaTheme="minorEastAsia"/>
        </w:rPr>
        <w:t xml:space="preserve">Previous aminoglycoside-induced toxicity </w:t>
      </w:r>
    </w:p>
    <w:p w14:paraId="2D6F73A8" w14:textId="77777777" w:rsidR="000005EF" w:rsidRPr="005C5492" w:rsidRDefault="000005EF" w:rsidP="000005EF"/>
    <w:p w14:paraId="27B4BD17" w14:textId="77777777" w:rsidR="000005EF" w:rsidRPr="005C5492" w:rsidRDefault="00330BA3" w:rsidP="000005EF">
      <w:pPr>
        <w:jc w:val="right"/>
        <w:rPr>
          <w:rFonts w:cs="Arial"/>
          <w:i/>
          <w:szCs w:val="24"/>
        </w:rPr>
      </w:pPr>
      <w:hyperlink w:anchor="Contents" w:history="1">
        <w:r w:rsidR="000005EF" w:rsidRPr="00C91F3F">
          <w:rPr>
            <w:rStyle w:val="Hyperlink"/>
            <w:rFonts w:eastAsiaTheme="majorEastAsia" w:cs="Arial"/>
            <w:i/>
            <w:szCs w:val="24"/>
          </w:rPr>
          <w:t>Back to Table of Contents</w:t>
        </w:r>
      </w:hyperlink>
      <w:r w:rsidR="000005EF">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CD1C0E" w14:paraId="758C2C74" w14:textId="77777777" w:rsidTr="00E52F47">
        <w:trPr>
          <w:cantSplit/>
          <w:trHeight w:val="285"/>
        </w:trPr>
        <w:tc>
          <w:tcPr>
            <w:tcW w:w="9158" w:type="dxa"/>
            <w:shd w:val="clear" w:color="auto" w:fill="D9D9D9" w:themeFill="background1" w:themeFillShade="D9"/>
          </w:tcPr>
          <w:p w14:paraId="5BC6D2A7" w14:textId="77777777" w:rsidR="000005EF" w:rsidRPr="003D2D06" w:rsidRDefault="000005EF" w:rsidP="00E52F47">
            <w:pPr>
              <w:pStyle w:val="Heading1"/>
            </w:pPr>
            <w:bookmarkStart w:id="9" w:name="_Toc95905333"/>
            <w:r w:rsidRPr="003D2D06">
              <w:t xml:space="preserve">Section </w:t>
            </w:r>
            <w:r>
              <w:t>2 – Restrictions</w:t>
            </w:r>
            <w:bookmarkEnd w:id="9"/>
          </w:p>
        </w:tc>
      </w:tr>
    </w:tbl>
    <w:p w14:paraId="1D924B8A" w14:textId="77777777" w:rsidR="000005EF" w:rsidRDefault="000005EF" w:rsidP="000005EF">
      <w:pPr>
        <w:pStyle w:val="ListParagraph"/>
        <w:ind w:left="360"/>
        <w:jc w:val="both"/>
        <w:rPr>
          <w:rFonts w:cs="Calibri"/>
          <w:szCs w:val="24"/>
        </w:rPr>
      </w:pPr>
    </w:p>
    <w:p w14:paraId="1068A81B" w14:textId="3E50FC29" w:rsidR="000005EF" w:rsidRPr="000005EF" w:rsidRDefault="000005EF" w:rsidP="000005EF">
      <w:pPr>
        <w:pStyle w:val="ListParagraph"/>
        <w:numPr>
          <w:ilvl w:val="0"/>
          <w:numId w:val="14"/>
        </w:numPr>
        <w:rPr>
          <w:rFonts w:asciiTheme="minorHAnsi" w:eastAsiaTheme="minorEastAsia" w:hAnsiTheme="minorHAnsi" w:cstheme="minorBidi"/>
          <w:i/>
          <w:iCs/>
          <w:szCs w:val="24"/>
        </w:rPr>
      </w:pPr>
      <w:r w:rsidRPr="13AE7925">
        <w:rPr>
          <w:rFonts w:cs="Calibri"/>
        </w:rPr>
        <w:t>Gentamicin is an “ORANGE” restricted antimicrobial (as per</w:t>
      </w:r>
      <w:r w:rsidRPr="000005EF">
        <w:rPr>
          <w:rFonts w:cs="Calibri"/>
          <w:i/>
          <w:iCs/>
        </w:rPr>
        <w:t>: Antimicrobial Stewardship procedure).</w:t>
      </w:r>
    </w:p>
    <w:p w14:paraId="1A05C56A" w14:textId="532B4709" w:rsidR="000005EF" w:rsidRPr="000005EF" w:rsidRDefault="000005EF" w:rsidP="000005EF">
      <w:pPr>
        <w:pStyle w:val="ListParagraph"/>
        <w:numPr>
          <w:ilvl w:val="0"/>
          <w:numId w:val="14"/>
        </w:numPr>
        <w:rPr>
          <w:rFonts w:cs="Calibri"/>
          <w:i/>
          <w:iCs/>
        </w:rPr>
      </w:pPr>
      <w:r w:rsidRPr="13AE7925">
        <w:rPr>
          <w:rFonts w:cs="Calibri"/>
        </w:rPr>
        <w:lastRenderedPageBreak/>
        <w:t xml:space="preserve">If Gentamicin is required beyond 48 hours (i.e. 3 doses), an application for </w:t>
      </w:r>
      <w:r>
        <w:rPr>
          <w:rFonts w:cs="Calibri"/>
        </w:rPr>
        <w:t>Antimicrobial Stewardship (</w:t>
      </w:r>
      <w:r w:rsidRPr="13AE7925">
        <w:rPr>
          <w:rFonts w:cs="Calibri"/>
        </w:rPr>
        <w:t>AMS</w:t>
      </w:r>
      <w:r>
        <w:rPr>
          <w:rFonts w:cs="Calibri"/>
        </w:rPr>
        <w:t>)</w:t>
      </w:r>
      <w:r w:rsidRPr="13AE7925">
        <w:rPr>
          <w:rFonts w:cs="Calibri"/>
        </w:rPr>
        <w:t xml:space="preserve"> approval must be requested. For instructions on seeking AMS approval, refer to the </w:t>
      </w:r>
      <w:r w:rsidRPr="000005EF">
        <w:rPr>
          <w:i/>
          <w:iCs/>
        </w:rPr>
        <w:t xml:space="preserve">Antimicrobial Stewardship procedure. </w:t>
      </w:r>
    </w:p>
    <w:p w14:paraId="6A73306C" w14:textId="77777777" w:rsidR="000005EF" w:rsidRPr="000005EF" w:rsidRDefault="000005EF" w:rsidP="000005EF">
      <w:pPr>
        <w:rPr>
          <w:rFonts w:cs="Calibri"/>
          <w:i/>
          <w:iCs/>
          <w:szCs w:val="24"/>
        </w:rPr>
      </w:pPr>
    </w:p>
    <w:p w14:paraId="601592EC" w14:textId="77777777" w:rsidR="000005EF" w:rsidRPr="009640EA" w:rsidRDefault="00330BA3" w:rsidP="000005EF">
      <w:pPr>
        <w:pStyle w:val="ListParagraph"/>
        <w:ind w:left="360"/>
        <w:jc w:val="right"/>
        <w:rPr>
          <w:rFonts w:cs="Arial"/>
          <w:b/>
          <w:szCs w:val="24"/>
        </w:rPr>
      </w:pPr>
      <w:hyperlink w:anchor="Contents" w:history="1">
        <w:r w:rsidR="000005EF" w:rsidRPr="00E06EEC">
          <w:rPr>
            <w:rStyle w:val="Hyperlink"/>
            <w:rFonts w:eastAsiaTheme="majorEastAsia" w:cs="Arial"/>
            <w:i/>
            <w:szCs w:val="24"/>
          </w:rPr>
          <w:t>Back to Table of Contents</w:t>
        </w:r>
      </w:hyperlink>
      <w:r w:rsidR="000005EF" w:rsidRPr="00E06EEC">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CD1C0E" w14:paraId="72255811" w14:textId="77777777" w:rsidTr="00E52F47">
        <w:trPr>
          <w:cantSplit/>
          <w:trHeight w:val="285"/>
        </w:trPr>
        <w:tc>
          <w:tcPr>
            <w:tcW w:w="9158" w:type="dxa"/>
            <w:shd w:val="clear" w:color="auto" w:fill="D9D9D9" w:themeFill="background1" w:themeFillShade="D9"/>
          </w:tcPr>
          <w:p w14:paraId="36B252F5" w14:textId="77777777" w:rsidR="000005EF" w:rsidRPr="003D2D06" w:rsidRDefault="000005EF" w:rsidP="00E52F47">
            <w:pPr>
              <w:pStyle w:val="Heading1"/>
            </w:pPr>
            <w:bookmarkStart w:id="10" w:name="_Toc95905334"/>
            <w:r w:rsidRPr="003D2D06">
              <w:t xml:space="preserve">Section </w:t>
            </w:r>
            <w:r>
              <w:t xml:space="preserve">3 – </w:t>
            </w:r>
            <w:r>
              <w:rPr>
                <w:rFonts w:cs="Calibri"/>
                <w:szCs w:val="24"/>
              </w:rPr>
              <w:t>Prescribing the Initial Dose</w:t>
            </w:r>
            <w:bookmarkEnd w:id="10"/>
          </w:p>
        </w:tc>
      </w:tr>
    </w:tbl>
    <w:p w14:paraId="1DB086EE" w14:textId="77777777" w:rsidR="000005EF" w:rsidRDefault="000005EF" w:rsidP="000005EF">
      <w:pPr>
        <w:pStyle w:val="ListParagraph"/>
        <w:ind w:left="360"/>
        <w:jc w:val="both"/>
        <w:rPr>
          <w:rFonts w:cs="Calibri"/>
          <w:szCs w:val="24"/>
        </w:rPr>
      </w:pPr>
    </w:p>
    <w:p w14:paraId="18350A97" w14:textId="77777777" w:rsidR="000005EF" w:rsidRDefault="000005EF" w:rsidP="000005EF">
      <w:pPr>
        <w:pStyle w:val="ListBullet"/>
        <w:tabs>
          <w:tab w:val="clear" w:pos="1080"/>
          <w:tab w:val="num" w:pos="360"/>
        </w:tabs>
        <w:ind w:left="360" w:hanging="360"/>
      </w:pPr>
      <w:r>
        <w:t>Gentamicin can be given via the intramuscular route in the absence of intravenous access.</w:t>
      </w:r>
    </w:p>
    <w:p w14:paraId="45E40A30" w14:textId="77777777" w:rsidR="000005EF" w:rsidRPr="00B8313D" w:rsidRDefault="000005EF" w:rsidP="000005EF">
      <w:pPr>
        <w:pStyle w:val="ListBullet"/>
        <w:tabs>
          <w:tab w:val="clear" w:pos="1080"/>
          <w:tab w:val="num" w:pos="360"/>
        </w:tabs>
        <w:ind w:left="360" w:hanging="360"/>
      </w:pPr>
      <w:r>
        <w:t>Assess baseline renal function by collecting serum for urea and creatinine. Do NOT delay the initial dose in an unwell child, however, whilst waiting for the result.</w:t>
      </w:r>
    </w:p>
    <w:p w14:paraId="5867AA47" w14:textId="77777777" w:rsidR="000005EF" w:rsidRDefault="000005EF" w:rsidP="000005EF">
      <w:pPr>
        <w:pStyle w:val="ListBullet"/>
        <w:tabs>
          <w:tab w:val="clear" w:pos="1080"/>
          <w:tab w:val="num" w:pos="360"/>
        </w:tabs>
        <w:ind w:left="360" w:hanging="360"/>
      </w:pPr>
      <w:r>
        <w:t xml:space="preserve">Dose reduction is required in children with obesity (BMI </w:t>
      </w:r>
      <w:r w:rsidRPr="5003E18A">
        <w:rPr>
          <w:rFonts w:cs="Calibri"/>
        </w:rPr>
        <w:t>≥</w:t>
      </w:r>
      <w:r>
        <w:t xml:space="preserve"> 95</w:t>
      </w:r>
      <w:r w:rsidRPr="5003E18A">
        <w:rPr>
          <w:vertAlign w:val="superscript"/>
        </w:rPr>
        <w:t>th</w:t>
      </w:r>
      <w:r>
        <w:t xml:space="preserve"> percentile for age) because gentamicin distributes minimally in adipose tissue. Doses should be calculated based on the Adjusted body weight formula using both the Ideal Body Weight (IBW) and Measured Weight.</w:t>
      </w:r>
    </w:p>
    <w:p w14:paraId="1BFC53A4" w14:textId="77777777" w:rsidR="000005EF" w:rsidRDefault="000005EF" w:rsidP="000005EF">
      <w:pPr>
        <w:pStyle w:val="ListBullet"/>
        <w:numPr>
          <w:ilvl w:val="0"/>
          <w:numId w:val="0"/>
        </w:numPr>
        <w:ind w:left="360"/>
      </w:pPr>
    </w:p>
    <w:p w14:paraId="3A2178FE" w14:textId="77777777" w:rsidR="000005EF" w:rsidRDefault="000005EF" w:rsidP="000005EF">
      <w:pPr>
        <w:pStyle w:val="ListBullet"/>
        <w:numPr>
          <w:ilvl w:val="0"/>
          <w:numId w:val="0"/>
        </w:numPr>
        <w:ind w:left="1080"/>
        <w:rPr>
          <w:i/>
          <w:iCs/>
        </w:rPr>
      </w:pPr>
      <w:r w:rsidRPr="3A9D816C">
        <w:rPr>
          <w:i/>
          <w:iCs/>
        </w:rPr>
        <w:t>Adjusted body weight = IBW^ + 0.4 X (Measured Weight - IBW)</w:t>
      </w:r>
    </w:p>
    <w:p w14:paraId="312B8DE1" w14:textId="77777777" w:rsidR="000005EF" w:rsidRPr="00E34421" w:rsidRDefault="000005EF" w:rsidP="000005EF">
      <w:pPr>
        <w:pStyle w:val="ListBullet"/>
        <w:numPr>
          <w:ilvl w:val="0"/>
          <w:numId w:val="0"/>
        </w:numPr>
        <w:ind w:left="1080"/>
        <w:rPr>
          <w:i/>
          <w:iCs/>
        </w:rPr>
      </w:pPr>
    </w:p>
    <w:p w14:paraId="6EEEAFE6" w14:textId="77777777" w:rsidR="000005EF" w:rsidRDefault="000005EF" w:rsidP="000005EF">
      <w:pPr>
        <w:pStyle w:val="ListBullet"/>
        <w:numPr>
          <w:ilvl w:val="0"/>
          <w:numId w:val="0"/>
        </w:numPr>
        <w:ind w:left="360"/>
      </w:pPr>
      <w:r>
        <w:t>^IBW can be calculated by plotting the child’s weight for age on the same percentile as their height for age</w:t>
      </w:r>
    </w:p>
    <w:p w14:paraId="55DF0F7A" w14:textId="77777777" w:rsidR="000005EF" w:rsidRDefault="000005EF" w:rsidP="000005EF">
      <w:pPr>
        <w:pStyle w:val="ListParagraph"/>
        <w:ind w:left="360"/>
        <w:rPr>
          <w:noProof/>
        </w:rPr>
      </w:pPr>
    </w:p>
    <w:p w14:paraId="69619E26" w14:textId="77777777" w:rsidR="000005EF" w:rsidRPr="005A738D" w:rsidRDefault="000005EF" w:rsidP="000005EF">
      <w:pPr>
        <w:pStyle w:val="ListParagraph"/>
        <w:ind w:left="357"/>
        <w:rPr>
          <w:b/>
          <w:bCs/>
          <w:noProof/>
        </w:rPr>
      </w:pPr>
      <w:r>
        <w:rPr>
          <w:b/>
          <w:bCs/>
          <w:noProof/>
        </w:rPr>
        <w:t xml:space="preserve">Table 1: STANDARD </w:t>
      </w:r>
      <w:r w:rsidRPr="005A738D">
        <w:rPr>
          <w:b/>
          <w:bCs/>
          <w:noProof/>
        </w:rPr>
        <w:t>INITIAL DOSING</w:t>
      </w:r>
    </w:p>
    <w:tbl>
      <w:tblPr>
        <w:tblStyle w:val="TableGrid"/>
        <w:tblW w:w="8725" w:type="dxa"/>
        <w:tblInd w:w="360" w:type="dxa"/>
        <w:tblLook w:val="04A0" w:firstRow="1" w:lastRow="0" w:firstColumn="1" w:lastColumn="0" w:noHBand="0" w:noVBand="1"/>
      </w:tblPr>
      <w:tblGrid>
        <w:gridCol w:w="2153"/>
        <w:gridCol w:w="2212"/>
        <w:gridCol w:w="2180"/>
        <w:gridCol w:w="2180"/>
      </w:tblGrid>
      <w:tr w:rsidR="000005EF" w14:paraId="510A84BC" w14:textId="77777777" w:rsidTr="00E52F47">
        <w:tc>
          <w:tcPr>
            <w:tcW w:w="2153" w:type="dxa"/>
            <w:shd w:val="clear" w:color="auto" w:fill="D9D9D9" w:themeFill="background1" w:themeFillShade="D9"/>
          </w:tcPr>
          <w:p w14:paraId="60FD080C" w14:textId="77777777" w:rsidR="000005EF" w:rsidRPr="003C0F6B" w:rsidRDefault="000005EF" w:rsidP="00E52F47">
            <w:pPr>
              <w:pStyle w:val="ListParagraph"/>
              <w:ind w:left="0"/>
              <w:rPr>
                <w:noProof/>
                <w:sz w:val="22"/>
                <w:szCs w:val="22"/>
              </w:rPr>
            </w:pPr>
            <w:r w:rsidRPr="003C0F6B">
              <w:rPr>
                <w:noProof/>
                <w:sz w:val="22"/>
                <w:szCs w:val="22"/>
              </w:rPr>
              <w:t>Age</w:t>
            </w:r>
          </w:p>
        </w:tc>
        <w:tc>
          <w:tcPr>
            <w:tcW w:w="2212" w:type="dxa"/>
            <w:shd w:val="clear" w:color="auto" w:fill="D9D9D9" w:themeFill="background1" w:themeFillShade="D9"/>
          </w:tcPr>
          <w:p w14:paraId="662A91F1" w14:textId="77777777" w:rsidR="000005EF" w:rsidRPr="003C0F6B" w:rsidRDefault="000005EF" w:rsidP="00E52F47">
            <w:pPr>
              <w:pStyle w:val="ListParagraph"/>
              <w:ind w:left="0"/>
              <w:rPr>
                <w:noProof/>
                <w:sz w:val="22"/>
                <w:szCs w:val="22"/>
              </w:rPr>
            </w:pPr>
            <w:r w:rsidRPr="003C0F6B">
              <w:rPr>
                <w:noProof/>
                <w:sz w:val="22"/>
                <w:szCs w:val="22"/>
              </w:rPr>
              <w:t>Dose</w:t>
            </w:r>
            <w:r>
              <w:rPr>
                <w:noProof/>
                <w:sz w:val="22"/>
                <w:szCs w:val="22"/>
              </w:rPr>
              <w:t xml:space="preserve"> (IV or IM)</w:t>
            </w:r>
          </w:p>
        </w:tc>
        <w:tc>
          <w:tcPr>
            <w:tcW w:w="2180" w:type="dxa"/>
            <w:shd w:val="clear" w:color="auto" w:fill="D9D9D9" w:themeFill="background1" w:themeFillShade="D9"/>
          </w:tcPr>
          <w:p w14:paraId="0A2DC5BD" w14:textId="77777777" w:rsidR="000005EF" w:rsidRPr="003C0F6B" w:rsidRDefault="000005EF" w:rsidP="00E52F47">
            <w:pPr>
              <w:pStyle w:val="ListParagraph"/>
              <w:ind w:left="0"/>
              <w:rPr>
                <w:noProof/>
                <w:sz w:val="22"/>
                <w:szCs w:val="22"/>
              </w:rPr>
            </w:pPr>
            <w:r w:rsidRPr="003C0F6B">
              <w:rPr>
                <w:noProof/>
                <w:sz w:val="22"/>
                <w:szCs w:val="22"/>
              </w:rPr>
              <w:t>Max Dose</w:t>
            </w:r>
          </w:p>
        </w:tc>
        <w:tc>
          <w:tcPr>
            <w:tcW w:w="2180" w:type="dxa"/>
            <w:shd w:val="clear" w:color="auto" w:fill="D9D9D9" w:themeFill="background1" w:themeFillShade="D9"/>
          </w:tcPr>
          <w:p w14:paraId="19078874" w14:textId="77777777" w:rsidR="000005EF" w:rsidRPr="003C0F6B" w:rsidRDefault="000005EF" w:rsidP="00E52F47">
            <w:pPr>
              <w:pStyle w:val="ListParagraph"/>
              <w:ind w:left="0"/>
              <w:rPr>
                <w:noProof/>
                <w:sz w:val="22"/>
                <w:szCs w:val="22"/>
              </w:rPr>
            </w:pPr>
            <w:r w:rsidRPr="003C0F6B">
              <w:rPr>
                <w:noProof/>
                <w:sz w:val="22"/>
                <w:szCs w:val="22"/>
              </w:rPr>
              <w:t>Frequency</w:t>
            </w:r>
          </w:p>
        </w:tc>
      </w:tr>
      <w:tr w:rsidR="000005EF" w14:paraId="75ABFC42" w14:textId="77777777" w:rsidTr="00DE5216">
        <w:trPr>
          <w:trHeight w:val="1139"/>
        </w:trPr>
        <w:tc>
          <w:tcPr>
            <w:tcW w:w="2153" w:type="dxa"/>
          </w:tcPr>
          <w:p w14:paraId="1B92FBC9" w14:textId="77777777" w:rsidR="000005EF" w:rsidRPr="003D49BA" w:rsidRDefault="000005EF" w:rsidP="00E52F47">
            <w:pPr>
              <w:pStyle w:val="ListParagraph"/>
              <w:spacing w:line="360" w:lineRule="auto"/>
              <w:ind w:left="0"/>
              <w:rPr>
                <w:noProof/>
                <w:sz w:val="22"/>
                <w:szCs w:val="22"/>
              </w:rPr>
            </w:pPr>
            <w:r w:rsidRPr="003D49BA">
              <w:rPr>
                <w:rFonts w:cs="Calibri"/>
                <w:bCs/>
                <w:sz w:val="22"/>
                <w:szCs w:val="22"/>
              </w:rPr>
              <w:t xml:space="preserve">Birth (at term)* – </w:t>
            </w:r>
            <w:r>
              <w:rPr>
                <w:rFonts w:cs="Calibri"/>
                <w:bCs/>
                <w:sz w:val="22"/>
                <w:szCs w:val="22"/>
              </w:rPr>
              <w:t xml:space="preserve"> </w:t>
            </w:r>
            <w:r>
              <w:rPr>
                <w:rFonts w:cs="Calibri"/>
                <w:bCs/>
                <w:sz w:val="22"/>
                <w:szCs w:val="22"/>
              </w:rPr>
              <w:br w:type="textWrapping" w:clear="all"/>
            </w:r>
            <w:r w:rsidRPr="003D49BA">
              <w:rPr>
                <w:rFonts w:cs="Calibri"/>
                <w:bCs/>
                <w:sz w:val="22"/>
                <w:szCs w:val="22"/>
              </w:rPr>
              <w:t>&lt; 1 month</w:t>
            </w:r>
          </w:p>
        </w:tc>
        <w:tc>
          <w:tcPr>
            <w:tcW w:w="2212" w:type="dxa"/>
          </w:tcPr>
          <w:p w14:paraId="70D21F8A" w14:textId="77777777" w:rsidR="000005EF" w:rsidRPr="003D49BA" w:rsidRDefault="000005EF" w:rsidP="00E52F47">
            <w:pPr>
              <w:pStyle w:val="ListParagraph"/>
              <w:ind w:left="0"/>
              <w:rPr>
                <w:noProof/>
                <w:sz w:val="22"/>
                <w:szCs w:val="22"/>
              </w:rPr>
            </w:pPr>
            <w:r w:rsidRPr="003D49BA">
              <w:rPr>
                <w:rFonts w:cs="Calibri"/>
                <w:bCs/>
                <w:sz w:val="22"/>
                <w:szCs w:val="22"/>
              </w:rPr>
              <w:t>5mg/kg/dose</w:t>
            </w:r>
          </w:p>
        </w:tc>
        <w:tc>
          <w:tcPr>
            <w:tcW w:w="2180" w:type="dxa"/>
          </w:tcPr>
          <w:p w14:paraId="4810E2F3" w14:textId="7D2EA8DD" w:rsidR="000005EF" w:rsidRPr="003D49BA" w:rsidRDefault="00706A49" w:rsidP="00E52F47">
            <w:pPr>
              <w:pStyle w:val="ListParagraph"/>
              <w:ind w:left="0"/>
              <w:rPr>
                <w:rFonts w:cs="Calibri"/>
                <w:bCs/>
                <w:sz w:val="22"/>
                <w:szCs w:val="22"/>
              </w:rPr>
            </w:pPr>
            <w:r>
              <w:rPr>
                <w:rFonts w:cs="Calibri"/>
                <w:bCs/>
                <w:sz w:val="22"/>
                <w:szCs w:val="22"/>
              </w:rPr>
              <w:t>Maximum 5mg/kg/dose</w:t>
            </w:r>
          </w:p>
        </w:tc>
        <w:tc>
          <w:tcPr>
            <w:tcW w:w="2180" w:type="dxa"/>
          </w:tcPr>
          <w:p w14:paraId="4ADF5AD2" w14:textId="77777777" w:rsidR="000005EF" w:rsidRPr="003D49BA" w:rsidRDefault="000005EF" w:rsidP="00E52F47">
            <w:pPr>
              <w:pStyle w:val="ListParagraph"/>
              <w:ind w:left="0"/>
              <w:rPr>
                <w:noProof/>
                <w:sz w:val="22"/>
                <w:szCs w:val="22"/>
              </w:rPr>
            </w:pPr>
            <w:r w:rsidRPr="003D49BA">
              <w:rPr>
                <w:rFonts w:cs="Calibri"/>
                <w:bCs/>
                <w:sz w:val="22"/>
                <w:szCs w:val="22"/>
              </w:rPr>
              <w:t>24 hourly</w:t>
            </w:r>
          </w:p>
        </w:tc>
      </w:tr>
      <w:tr w:rsidR="000005EF" w14:paraId="216CE296" w14:textId="77777777" w:rsidTr="00DE5216">
        <w:trPr>
          <w:trHeight w:val="1038"/>
        </w:trPr>
        <w:tc>
          <w:tcPr>
            <w:tcW w:w="2153" w:type="dxa"/>
          </w:tcPr>
          <w:p w14:paraId="61F9653D" w14:textId="77777777" w:rsidR="000005EF" w:rsidRPr="003D49BA" w:rsidRDefault="000005EF" w:rsidP="00E52F47">
            <w:pPr>
              <w:pStyle w:val="ListParagraph"/>
              <w:ind w:left="0"/>
              <w:rPr>
                <w:noProof/>
                <w:sz w:val="22"/>
                <w:szCs w:val="22"/>
              </w:rPr>
            </w:pPr>
            <w:r w:rsidRPr="003D49BA">
              <w:rPr>
                <w:rFonts w:cs="Calibri"/>
                <w:bCs/>
                <w:sz w:val="22"/>
                <w:szCs w:val="22"/>
              </w:rPr>
              <w:t>1 month - &lt; 10 years old</w:t>
            </w:r>
          </w:p>
        </w:tc>
        <w:tc>
          <w:tcPr>
            <w:tcW w:w="2212" w:type="dxa"/>
          </w:tcPr>
          <w:p w14:paraId="37ADB957" w14:textId="77777777" w:rsidR="000005EF" w:rsidRPr="00AC6129" w:rsidRDefault="000005EF" w:rsidP="00E52F47">
            <w:pPr>
              <w:pStyle w:val="ListParagraph"/>
              <w:ind w:left="0"/>
              <w:rPr>
                <w:noProof/>
                <w:sz w:val="22"/>
                <w:szCs w:val="22"/>
              </w:rPr>
            </w:pPr>
            <w:r w:rsidRPr="00AC6129">
              <w:rPr>
                <w:rFonts w:cs="Calibri"/>
                <w:bCs/>
                <w:sz w:val="22"/>
                <w:szCs w:val="22"/>
              </w:rPr>
              <w:t>7.5mg/kg/dose</w:t>
            </w:r>
          </w:p>
        </w:tc>
        <w:tc>
          <w:tcPr>
            <w:tcW w:w="2180" w:type="dxa"/>
          </w:tcPr>
          <w:p w14:paraId="1EAC12D4" w14:textId="77777777" w:rsidR="000005EF" w:rsidRPr="003D49BA" w:rsidRDefault="000005EF" w:rsidP="00E52F47">
            <w:pPr>
              <w:pStyle w:val="ListParagraph"/>
              <w:ind w:left="0"/>
              <w:rPr>
                <w:rFonts w:cs="Calibri"/>
                <w:bCs/>
                <w:sz w:val="22"/>
                <w:szCs w:val="22"/>
              </w:rPr>
            </w:pPr>
            <w:r w:rsidRPr="003D49BA">
              <w:rPr>
                <w:noProof/>
                <w:sz w:val="22"/>
                <w:szCs w:val="22"/>
              </w:rPr>
              <w:t>320mg</w:t>
            </w:r>
          </w:p>
        </w:tc>
        <w:tc>
          <w:tcPr>
            <w:tcW w:w="2180" w:type="dxa"/>
          </w:tcPr>
          <w:p w14:paraId="4A5B08C9" w14:textId="77777777" w:rsidR="000005EF" w:rsidRPr="003D49BA" w:rsidRDefault="000005EF" w:rsidP="00E52F47">
            <w:pPr>
              <w:pStyle w:val="ListParagraph"/>
              <w:ind w:left="0"/>
              <w:rPr>
                <w:noProof/>
                <w:sz w:val="22"/>
                <w:szCs w:val="22"/>
              </w:rPr>
            </w:pPr>
            <w:r w:rsidRPr="003D49BA">
              <w:rPr>
                <w:rFonts w:cs="Calibri"/>
                <w:bCs/>
                <w:sz w:val="22"/>
                <w:szCs w:val="22"/>
              </w:rPr>
              <w:t>24 hourly</w:t>
            </w:r>
          </w:p>
        </w:tc>
      </w:tr>
      <w:tr w:rsidR="000005EF" w14:paraId="0B40A6BA" w14:textId="77777777" w:rsidTr="00DE5216">
        <w:trPr>
          <w:trHeight w:val="1641"/>
        </w:trPr>
        <w:tc>
          <w:tcPr>
            <w:tcW w:w="2153" w:type="dxa"/>
          </w:tcPr>
          <w:p w14:paraId="693D469E" w14:textId="77777777" w:rsidR="000005EF" w:rsidRPr="003D49BA" w:rsidRDefault="000005EF" w:rsidP="00E52F47">
            <w:pPr>
              <w:pStyle w:val="ListParagraph"/>
              <w:ind w:left="0"/>
              <w:rPr>
                <w:noProof/>
                <w:sz w:val="22"/>
                <w:szCs w:val="22"/>
              </w:rPr>
            </w:pPr>
            <w:r w:rsidRPr="003D49BA">
              <w:rPr>
                <w:rFonts w:cs="Calibri"/>
                <w:bCs/>
                <w:sz w:val="22"/>
                <w:szCs w:val="22"/>
              </w:rPr>
              <w:t>10 years and older</w:t>
            </w:r>
          </w:p>
        </w:tc>
        <w:tc>
          <w:tcPr>
            <w:tcW w:w="2212" w:type="dxa"/>
          </w:tcPr>
          <w:p w14:paraId="6ECB0917" w14:textId="77777777" w:rsidR="000005EF" w:rsidRPr="00AC6129" w:rsidRDefault="000005EF" w:rsidP="00E52F47">
            <w:pPr>
              <w:pStyle w:val="Header"/>
              <w:tabs>
                <w:tab w:val="clear" w:pos="4153"/>
                <w:tab w:val="clear" w:pos="8306"/>
              </w:tabs>
              <w:spacing w:line="360" w:lineRule="auto"/>
              <w:rPr>
                <w:rFonts w:cs="Calibri"/>
                <w:bCs/>
                <w:sz w:val="22"/>
                <w:szCs w:val="22"/>
              </w:rPr>
            </w:pPr>
            <w:r w:rsidRPr="00AC6129">
              <w:rPr>
                <w:rFonts w:cs="Calibri"/>
                <w:bCs/>
                <w:sz w:val="22"/>
                <w:szCs w:val="22"/>
              </w:rPr>
              <w:t>6mg/kg/dose</w:t>
            </w:r>
          </w:p>
          <w:p w14:paraId="7E28B48F" w14:textId="77777777" w:rsidR="000005EF" w:rsidRPr="00AC6129" w:rsidRDefault="000005EF" w:rsidP="00E52F47">
            <w:pPr>
              <w:pStyle w:val="ListParagraph"/>
              <w:ind w:left="0"/>
              <w:rPr>
                <w:noProof/>
                <w:sz w:val="22"/>
                <w:szCs w:val="22"/>
              </w:rPr>
            </w:pPr>
            <w:r w:rsidRPr="00AC6129">
              <w:rPr>
                <w:rFonts w:cs="Calibri"/>
                <w:bCs/>
                <w:sz w:val="22"/>
                <w:szCs w:val="22"/>
              </w:rPr>
              <w:t xml:space="preserve">7mg/kg/dose if septic shock or requiring ICU support </w:t>
            </w:r>
          </w:p>
        </w:tc>
        <w:tc>
          <w:tcPr>
            <w:tcW w:w="2180" w:type="dxa"/>
          </w:tcPr>
          <w:p w14:paraId="7AA3BFDE" w14:textId="77777777" w:rsidR="000005EF" w:rsidRPr="003D49BA" w:rsidRDefault="000005EF" w:rsidP="00E52F47">
            <w:pPr>
              <w:pStyle w:val="ListParagraph"/>
              <w:ind w:left="0"/>
              <w:rPr>
                <w:noProof/>
                <w:sz w:val="22"/>
                <w:szCs w:val="22"/>
              </w:rPr>
            </w:pPr>
            <w:r w:rsidRPr="003D49BA">
              <w:rPr>
                <w:noProof/>
                <w:sz w:val="22"/>
                <w:szCs w:val="22"/>
              </w:rPr>
              <w:t>560mg</w:t>
            </w:r>
            <w:r w:rsidRPr="003D49BA">
              <w:rPr>
                <w:noProof/>
                <w:sz w:val="22"/>
                <w:szCs w:val="22"/>
                <w:vertAlign w:val="superscript"/>
              </w:rPr>
              <w:t>#</w:t>
            </w:r>
          </w:p>
          <w:p w14:paraId="77049378" w14:textId="77777777" w:rsidR="000005EF" w:rsidRPr="003D49BA" w:rsidRDefault="000005EF" w:rsidP="00E52F47">
            <w:pPr>
              <w:pStyle w:val="ListParagraph"/>
              <w:ind w:left="0"/>
              <w:rPr>
                <w:rFonts w:cs="Calibri"/>
                <w:bCs/>
                <w:sz w:val="22"/>
                <w:szCs w:val="22"/>
              </w:rPr>
            </w:pPr>
          </w:p>
        </w:tc>
        <w:tc>
          <w:tcPr>
            <w:tcW w:w="2180" w:type="dxa"/>
          </w:tcPr>
          <w:p w14:paraId="059A4B1F" w14:textId="77777777" w:rsidR="000005EF" w:rsidRPr="003D49BA" w:rsidRDefault="000005EF" w:rsidP="00E52F47">
            <w:pPr>
              <w:pStyle w:val="ListParagraph"/>
              <w:ind w:left="0"/>
              <w:rPr>
                <w:noProof/>
                <w:sz w:val="22"/>
                <w:szCs w:val="22"/>
              </w:rPr>
            </w:pPr>
            <w:r w:rsidRPr="003D49BA">
              <w:rPr>
                <w:rFonts w:cs="Calibri"/>
                <w:bCs/>
                <w:sz w:val="22"/>
                <w:szCs w:val="22"/>
              </w:rPr>
              <w:t>24 hourly</w:t>
            </w:r>
          </w:p>
        </w:tc>
      </w:tr>
    </w:tbl>
    <w:p w14:paraId="4A48E577" w14:textId="77777777" w:rsidR="000005EF" w:rsidRDefault="000005EF" w:rsidP="000005EF">
      <w:pPr>
        <w:ind w:left="357"/>
      </w:pPr>
      <w:r>
        <w:t>* Management for preterm neonates should be discussed with NICU.</w:t>
      </w:r>
    </w:p>
    <w:p w14:paraId="6997F366" w14:textId="77777777" w:rsidR="000005EF" w:rsidRPr="0087152E" w:rsidRDefault="000005EF" w:rsidP="000005EF">
      <w:pPr>
        <w:ind w:left="357"/>
        <w:rPr>
          <w:vertAlign w:val="superscript"/>
        </w:rPr>
      </w:pPr>
      <w:r w:rsidRPr="0087152E">
        <w:rPr>
          <w:vertAlign w:val="superscript"/>
        </w:rPr>
        <w:t>#</w:t>
      </w:r>
      <w:r>
        <w:rPr>
          <w:vertAlign w:val="superscript"/>
        </w:rPr>
        <w:t xml:space="preserve"> </w:t>
      </w:r>
      <w:r>
        <w:rPr>
          <w:bCs/>
          <w:noProof/>
          <w:sz w:val="22"/>
          <w:szCs w:val="22"/>
        </w:rPr>
        <w:t>This dose cap does not apply to critically ill children with severe sepsis or septic shock.</w:t>
      </w:r>
    </w:p>
    <w:p w14:paraId="056182D9" w14:textId="77777777" w:rsidR="000005EF" w:rsidRDefault="000005EF" w:rsidP="000005EF">
      <w:pPr>
        <w:rPr>
          <w:color w:val="FF0000"/>
        </w:rPr>
      </w:pPr>
    </w:p>
    <w:p w14:paraId="08E57CCD" w14:textId="77777777" w:rsidR="000005EF" w:rsidRDefault="000005EF" w:rsidP="000005EF">
      <w:pPr>
        <w:ind w:left="357"/>
        <w:rPr>
          <w:b/>
          <w:bCs/>
        </w:rPr>
      </w:pPr>
    </w:p>
    <w:p w14:paraId="66F18043" w14:textId="77777777" w:rsidR="000005EF" w:rsidRDefault="000005EF" w:rsidP="000005EF">
      <w:pPr>
        <w:ind w:left="357"/>
        <w:rPr>
          <w:b/>
          <w:bCs/>
        </w:rPr>
      </w:pPr>
    </w:p>
    <w:p w14:paraId="59D28898" w14:textId="77777777" w:rsidR="000005EF" w:rsidRDefault="000005EF" w:rsidP="000005EF">
      <w:pPr>
        <w:ind w:left="357"/>
        <w:rPr>
          <w:b/>
          <w:bCs/>
        </w:rPr>
      </w:pPr>
    </w:p>
    <w:p w14:paraId="7CCF0B87" w14:textId="77777777" w:rsidR="000005EF" w:rsidRDefault="000005EF" w:rsidP="000005EF">
      <w:pPr>
        <w:ind w:left="357"/>
        <w:rPr>
          <w:b/>
          <w:bCs/>
        </w:rPr>
      </w:pPr>
    </w:p>
    <w:p w14:paraId="2DFA31DB" w14:textId="77777777" w:rsidR="000005EF" w:rsidRDefault="000005EF" w:rsidP="000005EF">
      <w:pPr>
        <w:ind w:left="357"/>
        <w:rPr>
          <w:b/>
          <w:bCs/>
        </w:rPr>
      </w:pPr>
    </w:p>
    <w:p w14:paraId="7257631E" w14:textId="36C1249B" w:rsidR="000005EF" w:rsidRDefault="000005EF" w:rsidP="000005EF">
      <w:pPr>
        <w:spacing w:after="200" w:line="276" w:lineRule="auto"/>
        <w:rPr>
          <w:b/>
          <w:bCs/>
        </w:rPr>
      </w:pPr>
    </w:p>
    <w:p w14:paraId="1D825775" w14:textId="63B58EB6" w:rsidR="000005EF" w:rsidRDefault="000005EF" w:rsidP="000005EF">
      <w:pPr>
        <w:ind w:left="357"/>
        <w:rPr>
          <w:b/>
          <w:bCs/>
        </w:rPr>
      </w:pPr>
      <w:r w:rsidRPr="13AE7925">
        <w:rPr>
          <w:b/>
          <w:bCs/>
        </w:rPr>
        <w:t xml:space="preserve">Table 2: DOSING RECOMMENDATIONS FOR RENAL IMPAIRMENT </w:t>
      </w:r>
    </w:p>
    <w:p w14:paraId="4730BC1A" w14:textId="77777777" w:rsidR="00DE5216" w:rsidRDefault="00DE5216" w:rsidP="000005EF">
      <w:pPr>
        <w:ind w:left="357"/>
        <w:rPr>
          <w:b/>
          <w:bCs/>
        </w:rPr>
      </w:pPr>
    </w:p>
    <w:p w14:paraId="2C61EA2A" w14:textId="1AF11C9C" w:rsidR="000005EF" w:rsidRDefault="000005EF" w:rsidP="000005EF">
      <w:pPr>
        <w:ind w:left="357"/>
      </w:pPr>
      <w:r>
        <w:t>(Less nephrotoxic agents should be used in place of gentamicin where possible. If gentamicin is used, suggest discussing with a Paediatric Renal Specialist prior to starting or as soon as possible during treatment)</w:t>
      </w:r>
    </w:p>
    <w:p w14:paraId="2EE35EB8" w14:textId="77777777" w:rsidR="00DE5216" w:rsidRPr="00693D83" w:rsidRDefault="00DE5216" w:rsidP="000005EF">
      <w:pPr>
        <w:ind w:left="357"/>
        <w:rPr>
          <w:b/>
          <w:bCs/>
        </w:rPr>
      </w:pPr>
    </w:p>
    <w:tbl>
      <w:tblPr>
        <w:tblStyle w:val="TableGrid"/>
        <w:tblW w:w="0" w:type="auto"/>
        <w:tblInd w:w="279" w:type="dxa"/>
        <w:tblLook w:val="04A0" w:firstRow="1" w:lastRow="0" w:firstColumn="1" w:lastColumn="0" w:noHBand="0" w:noVBand="1"/>
      </w:tblPr>
      <w:tblGrid>
        <w:gridCol w:w="1939"/>
        <w:gridCol w:w="2259"/>
        <w:gridCol w:w="2475"/>
        <w:gridCol w:w="2108"/>
      </w:tblGrid>
      <w:tr w:rsidR="000005EF" w14:paraId="0DAD376E" w14:textId="77777777" w:rsidTr="00E52F47">
        <w:tc>
          <w:tcPr>
            <w:tcW w:w="1939" w:type="dxa"/>
            <w:shd w:val="clear" w:color="auto" w:fill="D9D9D9" w:themeFill="background1" w:themeFillShade="D9"/>
          </w:tcPr>
          <w:p w14:paraId="43610BC0" w14:textId="77777777" w:rsidR="000005EF" w:rsidRPr="003D49BA" w:rsidRDefault="000005EF" w:rsidP="00E52F47">
            <w:pPr>
              <w:pStyle w:val="ListParagraph"/>
              <w:ind w:left="0"/>
              <w:rPr>
                <w:noProof/>
                <w:sz w:val="22"/>
                <w:szCs w:val="22"/>
              </w:rPr>
            </w:pPr>
            <w:r w:rsidRPr="003D49BA">
              <w:rPr>
                <w:noProof/>
                <w:sz w:val="22"/>
                <w:szCs w:val="22"/>
              </w:rPr>
              <w:t>Age</w:t>
            </w:r>
          </w:p>
        </w:tc>
        <w:tc>
          <w:tcPr>
            <w:tcW w:w="2259" w:type="dxa"/>
            <w:shd w:val="clear" w:color="auto" w:fill="D9D9D9" w:themeFill="background1" w:themeFillShade="D9"/>
          </w:tcPr>
          <w:p w14:paraId="7D0C8AF4" w14:textId="77777777" w:rsidR="000005EF" w:rsidRPr="003D49BA" w:rsidRDefault="000005EF" w:rsidP="00E52F47">
            <w:pPr>
              <w:pStyle w:val="ListParagraph"/>
              <w:ind w:left="0"/>
              <w:rPr>
                <w:noProof/>
                <w:sz w:val="22"/>
                <w:szCs w:val="22"/>
              </w:rPr>
            </w:pPr>
            <w:r>
              <w:rPr>
                <w:noProof/>
                <w:sz w:val="22"/>
                <w:szCs w:val="22"/>
              </w:rPr>
              <w:t>eGFR*</w:t>
            </w:r>
          </w:p>
        </w:tc>
        <w:tc>
          <w:tcPr>
            <w:tcW w:w="2475" w:type="dxa"/>
            <w:shd w:val="clear" w:color="auto" w:fill="D9D9D9" w:themeFill="background1" w:themeFillShade="D9"/>
          </w:tcPr>
          <w:p w14:paraId="653BBA69" w14:textId="77777777" w:rsidR="000005EF" w:rsidRPr="003D49BA" w:rsidRDefault="000005EF" w:rsidP="00E52F47">
            <w:pPr>
              <w:pStyle w:val="ListParagraph"/>
              <w:ind w:left="0"/>
              <w:rPr>
                <w:noProof/>
                <w:sz w:val="22"/>
                <w:szCs w:val="22"/>
              </w:rPr>
            </w:pPr>
            <w:r>
              <w:rPr>
                <w:noProof/>
                <w:sz w:val="22"/>
                <w:szCs w:val="22"/>
              </w:rPr>
              <w:t>Gentamicin Dose</w:t>
            </w:r>
          </w:p>
        </w:tc>
        <w:tc>
          <w:tcPr>
            <w:tcW w:w="2108" w:type="dxa"/>
            <w:shd w:val="clear" w:color="auto" w:fill="D9D9D9" w:themeFill="background1" w:themeFillShade="D9"/>
          </w:tcPr>
          <w:p w14:paraId="3F6B2D14" w14:textId="77777777" w:rsidR="000005EF" w:rsidRDefault="000005EF" w:rsidP="00E52F47">
            <w:pPr>
              <w:pStyle w:val="ListParagraph"/>
              <w:ind w:left="0"/>
              <w:rPr>
                <w:noProof/>
                <w:sz w:val="22"/>
                <w:szCs w:val="22"/>
              </w:rPr>
            </w:pPr>
            <w:r>
              <w:rPr>
                <w:noProof/>
                <w:sz w:val="22"/>
                <w:szCs w:val="22"/>
              </w:rPr>
              <w:t>Frequency</w:t>
            </w:r>
          </w:p>
        </w:tc>
      </w:tr>
      <w:tr w:rsidR="000005EF" w14:paraId="641F8C86" w14:textId="77777777" w:rsidTr="00DE5216">
        <w:trPr>
          <w:trHeight w:val="1144"/>
        </w:trPr>
        <w:tc>
          <w:tcPr>
            <w:tcW w:w="1939" w:type="dxa"/>
          </w:tcPr>
          <w:p w14:paraId="49341E4C" w14:textId="77777777" w:rsidR="000005EF" w:rsidRPr="002169A7" w:rsidRDefault="000005EF" w:rsidP="00E52F47">
            <w:pPr>
              <w:rPr>
                <w:rFonts w:asciiTheme="minorHAnsi" w:hAnsiTheme="minorHAnsi" w:cstheme="minorHAnsi"/>
                <w:sz w:val="22"/>
                <w:szCs w:val="22"/>
              </w:rPr>
            </w:pPr>
            <w:r w:rsidRPr="002169A7">
              <w:rPr>
                <w:rFonts w:asciiTheme="minorHAnsi" w:hAnsiTheme="minorHAnsi" w:cstheme="minorHAnsi"/>
                <w:sz w:val="22"/>
                <w:szCs w:val="22"/>
              </w:rPr>
              <w:t>Neonate (&lt; 1 month)</w:t>
            </w:r>
          </w:p>
        </w:tc>
        <w:tc>
          <w:tcPr>
            <w:tcW w:w="6842" w:type="dxa"/>
            <w:gridSpan w:val="3"/>
          </w:tcPr>
          <w:p w14:paraId="6F7B314F" w14:textId="77777777" w:rsidR="000005EF" w:rsidRPr="002169A7" w:rsidRDefault="000005EF" w:rsidP="00E52F47">
            <w:pPr>
              <w:rPr>
                <w:rFonts w:asciiTheme="minorHAnsi" w:hAnsiTheme="minorHAnsi" w:cstheme="minorHAnsi"/>
                <w:sz w:val="22"/>
                <w:szCs w:val="22"/>
              </w:rPr>
            </w:pPr>
            <w:r w:rsidRPr="002169A7">
              <w:rPr>
                <w:rFonts w:asciiTheme="minorHAnsi" w:hAnsiTheme="minorHAnsi" w:cstheme="minorHAnsi"/>
                <w:sz w:val="22"/>
                <w:szCs w:val="22"/>
              </w:rPr>
              <w:t xml:space="preserve">Aim to use an alternative antibiotic- discuss with Paediatrician </w:t>
            </w:r>
          </w:p>
        </w:tc>
      </w:tr>
      <w:tr w:rsidR="000005EF" w14:paraId="2305A26C" w14:textId="77777777" w:rsidTr="00E52F47">
        <w:tc>
          <w:tcPr>
            <w:tcW w:w="1939" w:type="dxa"/>
            <w:vMerge w:val="restart"/>
          </w:tcPr>
          <w:p w14:paraId="295ECF04" w14:textId="77777777" w:rsidR="000005EF" w:rsidRPr="002169A7" w:rsidRDefault="000005EF" w:rsidP="00E52F47">
            <w:pPr>
              <w:rPr>
                <w:rFonts w:asciiTheme="minorHAnsi" w:hAnsiTheme="minorHAnsi" w:cstheme="minorHAnsi"/>
                <w:sz w:val="22"/>
                <w:szCs w:val="22"/>
              </w:rPr>
            </w:pPr>
            <w:r w:rsidRPr="002169A7">
              <w:rPr>
                <w:rFonts w:asciiTheme="minorHAnsi" w:hAnsiTheme="minorHAnsi" w:cstheme="minorHAnsi"/>
                <w:sz w:val="22"/>
                <w:szCs w:val="22"/>
              </w:rPr>
              <w:t>1 month – 16 years</w:t>
            </w:r>
          </w:p>
        </w:tc>
        <w:tc>
          <w:tcPr>
            <w:tcW w:w="2259" w:type="dxa"/>
          </w:tcPr>
          <w:p w14:paraId="35389A3B" w14:textId="77777777" w:rsidR="000005EF" w:rsidRPr="002169A7" w:rsidRDefault="000005EF" w:rsidP="00E52F47">
            <w:pPr>
              <w:rPr>
                <w:rFonts w:asciiTheme="minorHAnsi" w:hAnsiTheme="minorHAnsi" w:cstheme="minorHAnsi"/>
                <w:sz w:val="22"/>
                <w:szCs w:val="22"/>
              </w:rPr>
            </w:pPr>
            <w:r w:rsidRPr="002169A7">
              <w:rPr>
                <w:rFonts w:asciiTheme="minorHAnsi" w:hAnsiTheme="minorHAnsi" w:cstheme="minorHAnsi"/>
                <w:sz w:val="22"/>
                <w:szCs w:val="22"/>
              </w:rPr>
              <w:t>&gt;50mL/min/1.73m</w:t>
            </w:r>
            <w:r w:rsidRPr="002169A7">
              <w:rPr>
                <w:rFonts w:asciiTheme="minorHAnsi" w:hAnsiTheme="minorHAnsi" w:cstheme="minorHAnsi"/>
                <w:sz w:val="22"/>
                <w:szCs w:val="22"/>
                <w:vertAlign w:val="superscript"/>
              </w:rPr>
              <w:t>2</w:t>
            </w:r>
          </w:p>
        </w:tc>
        <w:tc>
          <w:tcPr>
            <w:tcW w:w="4583" w:type="dxa"/>
            <w:gridSpan w:val="2"/>
          </w:tcPr>
          <w:p w14:paraId="578191BD" w14:textId="77777777" w:rsidR="000005EF" w:rsidRPr="002169A7" w:rsidRDefault="000005EF" w:rsidP="00E52F47">
            <w:pPr>
              <w:rPr>
                <w:rFonts w:asciiTheme="minorHAnsi" w:hAnsiTheme="minorHAnsi" w:cstheme="minorHAnsi"/>
                <w:sz w:val="22"/>
                <w:szCs w:val="22"/>
              </w:rPr>
            </w:pPr>
            <w:r w:rsidRPr="002169A7">
              <w:rPr>
                <w:rFonts w:asciiTheme="minorHAnsi" w:hAnsiTheme="minorHAnsi" w:cstheme="minorHAnsi"/>
                <w:sz w:val="22"/>
                <w:szCs w:val="22"/>
              </w:rPr>
              <w:t>Standard</w:t>
            </w:r>
            <w:r>
              <w:rPr>
                <w:rFonts w:asciiTheme="minorHAnsi" w:hAnsiTheme="minorHAnsi" w:cstheme="minorHAnsi"/>
                <w:sz w:val="22"/>
                <w:szCs w:val="22"/>
              </w:rPr>
              <w:t>, see Table 1 above.</w:t>
            </w:r>
          </w:p>
          <w:p w14:paraId="20C0E45E" w14:textId="77777777" w:rsidR="000005EF" w:rsidRPr="002169A7" w:rsidRDefault="000005EF" w:rsidP="00E52F47">
            <w:pPr>
              <w:rPr>
                <w:rFonts w:asciiTheme="minorHAnsi" w:hAnsiTheme="minorHAnsi" w:cstheme="minorHAnsi"/>
                <w:sz w:val="22"/>
                <w:szCs w:val="22"/>
              </w:rPr>
            </w:pPr>
          </w:p>
        </w:tc>
      </w:tr>
      <w:tr w:rsidR="000005EF" w14:paraId="28F5B69C" w14:textId="77777777" w:rsidTr="00DE5216">
        <w:trPr>
          <w:trHeight w:val="870"/>
        </w:trPr>
        <w:tc>
          <w:tcPr>
            <w:tcW w:w="1939" w:type="dxa"/>
            <w:vMerge/>
          </w:tcPr>
          <w:p w14:paraId="2A34CC86" w14:textId="77777777" w:rsidR="000005EF" w:rsidRPr="002169A7" w:rsidRDefault="000005EF" w:rsidP="00E52F47">
            <w:pPr>
              <w:rPr>
                <w:rFonts w:asciiTheme="minorHAnsi" w:hAnsiTheme="minorHAnsi" w:cstheme="minorHAnsi"/>
                <w:sz w:val="22"/>
                <w:szCs w:val="22"/>
              </w:rPr>
            </w:pPr>
          </w:p>
        </w:tc>
        <w:tc>
          <w:tcPr>
            <w:tcW w:w="2259" w:type="dxa"/>
          </w:tcPr>
          <w:p w14:paraId="4696E880" w14:textId="77777777" w:rsidR="000005EF" w:rsidRPr="002169A7" w:rsidRDefault="000005EF" w:rsidP="00E52F47">
            <w:pPr>
              <w:pStyle w:val="Default"/>
              <w:rPr>
                <w:rFonts w:asciiTheme="minorHAnsi" w:hAnsiTheme="minorHAnsi" w:cstheme="minorHAnsi"/>
                <w:sz w:val="22"/>
                <w:szCs w:val="22"/>
              </w:rPr>
            </w:pPr>
            <w:r w:rsidRPr="002169A7">
              <w:rPr>
                <w:rFonts w:asciiTheme="minorHAnsi" w:hAnsiTheme="minorHAnsi" w:cstheme="minorHAnsi"/>
                <w:sz w:val="22"/>
                <w:szCs w:val="22"/>
              </w:rPr>
              <w:t xml:space="preserve">30-50 mL/min/1.73m2 </w:t>
            </w:r>
          </w:p>
          <w:p w14:paraId="26625CB4" w14:textId="77777777" w:rsidR="000005EF" w:rsidRPr="002169A7" w:rsidRDefault="000005EF" w:rsidP="00E52F47">
            <w:pPr>
              <w:rPr>
                <w:rFonts w:asciiTheme="minorHAnsi" w:hAnsiTheme="minorHAnsi" w:cstheme="minorHAnsi"/>
                <w:sz w:val="22"/>
                <w:szCs w:val="22"/>
              </w:rPr>
            </w:pPr>
          </w:p>
        </w:tc>
        <w:tc>
          <w:tcPr>
            <w:tcW w:w="2475" w:type="dxa"/>
          </w:tcPr>
          <w:p w14:paraId="268B35F1" w14:textId="77777777" w:rsidR="000005EF" w:rsidRPr="002169A7" w:rsidRDefault="000005EF" w:rsidP="00E52F47">
            <w:pPr>
              <w:pStyle w:val="Default"/>
              <w:rPr>
                <w:rFonts w:asciiTheme="minorHAnsi" w:hAnsiTheme="minorHAnsi" w:cstheme="minorHAnsi"/>
                <w:sz w:val="22"/>
                <w:szCs w:val="22"/>
              </w:rPr>
            </w:pPr>
            <w:r w:rsidRPr="002169A7">
              <w:rPr>
                <w:rFonts w:asciiTheme="minorHAnsi" w:hAnsiTheme="minorHAnsi" w:cstheme="minorHAnsi"/>
                <w:sz w:val="22"/>
                <w:szCs w:val="22"/>
              </w:rPr>
              <w:t xml:space="preserve">2.5 mg/kg/dose </w:t>
            </w:r>
          </w:p>
          <w:p w14:paraId="45A11C24" w14:textId="77777777" w:rsidR="000005EF" w:rsidRPr="002169A7" w:rsidRDefault="000005EF" w:rsidP="00E52F47">
            <w:pPr>
              <w:rPr>
                <w:rFonts w:asciiTheme="minorHAnsi" w:hAnsiTheme="minorHAnsi" w:cstheme="minorHAnsi"/>
                <w:sz w:val="22"/>
                <w:szCs w:val="22"/>
              </w:rPr>
            </w:pPr>
          </w:p>
        </w:tc>
        <w:tc>
          <w:tcPr>
            <w:tcW w:w="2108" w:type="dxa"/>
          </w:tcPr>
          <w:p w14:paraId="50C176C1" w14:textId="77777777" w:rsidR="000005EF" w:rsidRPr="002169A7" w:rsidRDefault="000005EF" w:rsidP="00E52F47">
            <w:pPr>
              <w:rPr>
                <w:rFonts w:asciiTheme="minorHAnsi" w:hAnsiTheme="minorHAnsi" w:cstheme="minorHAnsi"/>
                <w:sz w:val="22"/>
                <w:szCs w:val="22"/>
              </w:rPr>
            </w:pPr>
            <w:r w:rsidRPr="002169A7">
              <w:rPr>
                <w:rFonts w:asciiTheme="minorHAnsi" w:hAnsiTheme="minorHAnsi" w:cstheme="minorHAnsi"/>
                <w:sz w:val="22"/>
                <w:szCs w:val="22"/>
              </w:rPr>
              <w:t>12 hourly</w:t>
            </w:r>
          </w:p>
        </w:tc>
      </w:tr>
      <w:tr w:rsidR="000005EF" w14:paraId="1C91D1F1" w14:textId="77777777" w:rsidTr="00DE5216">
        <w:trPr>
          <w:trHeight w:val="826"/>
        </w:trPr>
        <w:tc>
          <w:tcPr>
            <w:tcW w:w="1939" w:type="dxa"/>
            <w:vMerge/>
          </w:tcPr>
          <w:p w14:paraId="756B591B" w14:textId="77777777" w:rsidR="000005EF" w:rsidRPr="002169A7" w:rsidRDefault="000005EF" w:rsidP="00E52F47">
            <w:pPr>
              <w:rPr>
                <w:rFonts w:asciiTheme="minorHAnsi" w:hAnsiTheme="minorHAnsi" w:cstheme="minorHAnsi"/>
                <w:sz w:val="22"/>
                <w:szCs w:val="22"/>
              </w:rPr>
            </w:pPr>
          </w:p>
        </w:tc>
        <w:tc>
          <w:tcPr>
            <w:tcW w:w="2259" w:type="dxa"/>
          </w:tcPr>
          <w:p w14:paraId="32466A3A" w14:textId="77777777" w:rsidR="000005EF" w:rsidRPr="002169A7" w:rsidRDefault="000005EF" w:rsidP="00E52F47">
            <w:pPr>
              <w:pStyle w:val="Default"/>
              <w:rPr>
                <w:rFonts w:asciiTheme="minorHAnsi" w:hAnsiTheme="minorHAnsi" w:cstheme="minorHAnsi"/>
                <w:sz w:val="22"/>
                <w:szCs w:val="22"/>
              </w:rPr>
            </w:pPr>
            <w:r w:rsidRPr="002169A7">
              <w:rPr>
                <w:rFonts w:asciiTheme="minorHAnsi" w:hAnsiTheme="minorHAnsi" w:cstheme="minorHAnsi"/>
                <w:sz w:val="22"/>
                <w:szCs w:val="22"/>
              </w:rPr>
              <w:t xml:space="preserve">10-29 mL/min/1.73m2 </w:t>
            </w:r>
          </w:p>
        </w:tc>
        <w:tc>
          <w:tcPr>
            <w:tcW w:w="2475" w:type="dxa"/>
          </w:tcPr>
          <w:p w14:paraId="52661201" w14:textId="77777777" w:rsidR="000005EF" w:rsidRPr="002169A7" w:rsidRDefault="000005EF" w:rsidP="00E52F47">
            <w:pPr>
              <w:pStyle w:val="Default"/>
              <w:rPr>
                <w:rFonts w:asciiTheme="minorHAnsi" w:hAnsiTheme="minorHAnsi" w:cstheme="minorHAnsi"/>
                <w:sz w:val="22"/>
                <w:szCs w:val="22"/>
              </w:rPr>
            </w:pPr>
            <w:r w:rsidRPr="002169A7">
              <w:rPr>
                <w:rFonts w:asciiTheme="minorHAnsi" w:hAnsiTheme="minorHAnsi" w:cstheme="minorHAnsi"/>
                <w:sz w:val="22"/>
                <w:szCs w:val="22"/>
              </w:rPr>
              <w:t xml:space="preserve">2.5 mg/kg/dose </w:t>
            </w:r>
          </w:p>
          <w:p w14:paraId="30CD8F86" w14:textId="77777777" w:rsidR="000005EF" w:rsidRPr="002169A7" w:rsidRDefault="000005EF" w:rsidP="00E52F47">
            <w:pPr>
              <w:pStyle w:val="Default"/>
              <w:rPr>
                <w:rFonts w:asciiTheme="minorHAnsi" w:hAnsiTheme="minorHAnsi" w:cstheme="minorHAnsi"/>
                <w:sz w:val="22"/>
                <w:szCs w:val="22"/>
              </w:rPr>
            </w:pPr>
          </w:p>
        </w:tc>
        <w:tc>
          <w:tcPr>
            <w:tcW w:w="2108" w:type="dxa"/>
          </w:tcPr>
          <w:p w14:paraId="5907D561" w14:textId="77777777" w:rsidR="000005EF" w:rsidRPr="002169A7" w:rsidRDefault="000005EF" w:rsidP="00E52F47">
            <w:pPr>
              <w:rPr>
                <w:rFonts w:asciiTheme="minorHAnsi" w:hAnsiTheme="minorHAnsi" w:cstheme="minorBidi"/>
                <w:sz w:val="22"/>
                <w:szCs w:val="22"/>
              </w:rPr>
            </w:pPr>
            <w:r w:rsidRPr="13AE7925">
              <w:rPr>
                <w:rFonts w:asciiTheme="minorHAnsi" w:hAnsiTheme="minorHAnsi" w:cstheme="minorBidi"/>
                <w:sz w:val="22"/>
                <w:szCs w:val="22"/>
              </w:rPr>
              <w:t>24 hourly</w:t>
            </w:r>
          </w:p>
        </w:tc>
      </w:tr>
      <w:tr w:rsidR="000005EF" w14:paraId="29BB65D2" w14:textId="77777777" w:rsidTr="00DE5216">
        <w:trPr>
          <w:trHeight w:val="1090"/>
        </w:trPr>
        <w:tc>
          <w:tcPr>
            <w:tcW w:w="1939" w:type="dxa"/>
            <w:vMerge/>
          </w:tcPr>
          <w:p w14:paraId="212FCD04" w14:textId="77777777" w:rsidR="000005EF" w:rsidRPr="002169A7" w:rsidRDefault="000005EF" w:rsidP="00E52F47">
            <w:pPr>
              <w:rPr>
                <w:rFonts w:asciiTheme="minorHAnsi" w:hAnsiTheme="minorHAnsi" w:cstheme="minorHAnsi"/>
                <w:sz w:val="22"/>
                <w:szCs w:val="22"/>
              </w:rPr>
            </w:pPr>
          </w:p>
        </w:tc>
        <w:tc>
          <w:tcPr>
            <w:tcW w:w="2259" w:type="dxa"/>
          </w:tcPr>
          <w:p w14:paraId="41D8CA5A" w14:textId="77777777" w:rsidR="000005EF" w:rsidRPr="002169A7" w:rsidRDefault="000005EF" w:rsidP="00E52F47">
            <w:pPr>
              <w:pStyle w:val="Default"/>
              <w:rPr>
                <w:rFonts w:asciiTheme="minorHAnsi" w:hAnsiTheme="minorHAnsi" w:cstheme="minorHAnsi"/>
                <w:sz w:val="22"/>
                <w:szCs w:val="22"/>
              </w:rPr>
            </w:pPr>
            <w:r w:rsidRPr="002169A7">
              <w:rPr>
                <w:rFonts w:asciiTheme="minorHAnsi" w:hAnsiTheme="minorHAnsi" w:cstheme="minorHAnsi"/>
                <w:sz w:val="22"/>
                <w:szCs w:val="22"/>
              </w:rPr>
              <w:t xml:space="preserve">&lt;10 mL/min/1.73m2 </w:t>
            </w:r>
          </w:p>
          <w:p w14:paraId="34D7A581" w14:textId="77777777" w:rsidR="000005EF" w:rsidRPr="002169A7" w:rsidRDefault="000005EF" w:rsidP="00E52F47">
            <w:pPr>
              <w:pStyle w:val="Default"/>
              <w:rPr>
                <w:rFonts w:asciiTheme="minorHAnsi" w:hAnsiTheme="minorHAnsi" w:cstheme="minorHAnsi"/>
                <w:sz w:val="22"/>
                <w:szCs w:val="22"/>
              </w:rPr>
            </w:pPr>
          </w:p>
        </w:tc>
        <w:tc>
          <w:tcPr>
            <w:tcW w:w="2475" w:type="dxa"/>
          </w:tcPr>
          <w:p w14:paraId="4FF5124A" w14:textId="77777777" w:rsidR="000005EF" w:rsidRPr="002169A7" w:rsidRDefault="000005EF" w:rsidP="00E52F47">
            <w:pPr>
              <w:pStyle w:val="Default"/>
              <w:rPr>
                <w:rFonts w:asciiTheme="minorHAnsi" w:hAnsiTheme="minorHAnsi" w:cstheme="minorHAnsi"/>
                <w:sz w:val="22"/>
                <w:szCs w:val="22"/>
              </w:rPr>
            </w:pPr>
            <w:r w:rsidRPr="002169A7">
              <w:rPr>
                <w:rFonts w:asciiTheme="minorHAnsi" w:hAnsiTheme="minorHAnsi" w:cstheme="minorHAnsi"/>
                <w:sz w:val="22"/>
                <w:szCs w:val="22"/>
              </w:rPr>
              <w:t xml:space="preserve">2.5 mg/kg/dose </w:t>
            </w:r>
          </w:p>
          <w:p w14:paraId="07CB8537" w14:textId="77777777" w:rsidR="000005EF" w:rsidRPr="002169A7" w:rsidRDefault="000005EF" w:rsidP="00E52F47">
            <w:pPr>
              <w:pStyle w:val="Default"/>
              <w:rPr>
                <w:rFonts w:asciiTheme="minorHAnsi" w:hAnsiTheme="minorHAnsi" w:cstheme="minorHAnsi"/>
                <w:sz w:val="22"/>
                <w:szCs w:val="22"/>
              </w:rPr>
            </w:pPr>
          </w:p>
        </w:tc>
        <w:tc>
          <w:tcPr>
            <w:tcW w:w="2108" w:type="dxa"/>
          </w:tcPr>
          <w:p w14:paraId="25C24AC6" w14:textId="77777777" w:rsidR="000005EF" w:rsidRPr="002169A7" w:rsidRDefault="000005EF" w:rsidP="00E52F47">
            <w:pPr>
              <w:rPr>
                <w:rFonts w:asciiTheme="minorHAnsi" w:hAnsiTheme="minorHAnsi" w:cstheme="minorHAnsi"/>
                <w:sz w:val="22"/>
                <w:szCs w:val="22"/>
              </w:rPr>
            </w:pPr>
            <w:r w:rsidRPr="002169A7">
              <w:rPr>
                <w:rFonts w:asciiTheme="minorHAnsi" w:hAnsiTheme="minorHAnsi" w:cstheme="minorHAnsi"/>
                <w:sz w:val="22"/>
                <w:szCs w:val="22"/>
              </w:rPr>
              <w:t>4</w:t>
            </w:r>
            <w:r>
              <w:rPr>
                <w:rFonts w:asciiTheme="minorHAnsi" w:hAnsiTheme="minorHAnsi" w:cstheme="minorHAnsi"/>
                <w:sz w:val="22"/>
                <w:szCs w:val="22"/>
              </w:rPr>
              <w:t>8</w:t>
            </w:r>
            <w:r w:rsidRPr="002169A7">
              <w:rPr>
                <w:rFonts w:asciiTheme="minorHAnsi" w:hAnsiTheme="minorHAnsi" w:cstheme="minorHAnsi"/>
                <w:sz w:val="22"/>
                <w:szCs w:val="22"/>
              </w:rPr>
              <w:t>-72 hourly</w:t>
            </w:r>
          </w:p>
        </w:tc>
      </w:tr>
    </w:tbl>
    <w:p w14:paraId="7C5C62AF" w14:textId="77777777" w:rsidR="00DE5216" w:rsidRDefault="00DE5216" w:rsidP="000005EF">
      <w:pPr>
        <w:tabs>
          <w:tab w:val="num" w:pos="360"/>
        </w:tabs>
      </w:pPr>
    </w:p>
    <w:p w14:paraId="4098587D" w14:textId="77777777" w:rsidR="00DE5216" w:rsidRDefault="00DE5216" w:rsidP="000005EF">
      <w:pPr>
        <w:tabs>
          <w:tab w:val="num" w:pos="360"/>
        </w:tabs>
      </w:pPr>
    </w:p>
    <w:p w14:paraId="153E059B" w14:textId="7F42CBFB" w:rsidR="000005EF" w:rsidRDefault="000005EF" w:rsidP="000005EF">
      <w:pPr>
        <w:tabs>
          <w:tab w:val="num" w:pos="360"/>
        </w:tabs>
        <w:rPr>
          <w:szCs w:val="24"/>
        </w:rPr>
      </w:pPr>
      <w:r>
        <w:t>*Use of the Schwartz formula for calculation of eGFR is recommended. See Note 1, section 1 above.</w:t>
      </w:r>
    </w:p>
    <w:p w14:paraId="0769B665" w14:textId="77777777" w:rsidR="000005EF" w:rsidRDefault="00330BA3" w:rsidP="000005EF">
      <w:pPr>
        <w:pStyle w:val="ListParagraph"/>
        <w:ind w:left="360"/>
        <w:jc w:val="right"/>
        <w:rPr>
          <w:rFonts w:cs="Arial"/>
          <w:b/>
          <w:szCs w:val="24"/>
        </w:rPr>
      </w:pPr>
      <w:hyperlink w:anchor="Contents" w:history="1">
        <w:r w:rsidR="000005EF" w:rsidRPr="00E06EEC">
          <w:rPr>
            <w:rStyle w:val="Hyperlink"/>
            <w:rFonts w:eastAsiaTheme="majorEastAsia" w:cs="Arial"/>
            <w:i/>
            <w:szCs w:val="24"/>
          </w:rPr>
          <w:t>Back to Table of Contents</w:t>
        </w:r>
      </w:hyperlink>
      <w:r w:rsidR="000005EF" w:rsidRPr="00E06EEC">
        <w:rPr>
          <w:rFonts w:cs="Arial"/>
          <w:i/>
          <w:szCs w:val="24"/>
        </w:rPr>
        <w:t xml:space="preserve"> </w:t>
      </w:r>
    </w:p>
    <w:p w14:paraId="7D87052C" w14:textId="77777777" w:rsidR="000005EF" w:rsidRPr="00780C3E" w:rsidRDefault="000005EF" w:rsidP="000005EF">
      <w:pPr>
        <w:rPr>
          <w:rFonts w:cs="Arial"/>
          <w:b/>
          <w:szCs w:val="24"/>
        </w:rPr>
      </w:pPr>
      <w:r w:rsidRPr="00780C3E">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CD1C0E" w14:paraId="5292E6E4" w14:textId="77777777" w:rsidTr="00E52F47">
        <w:trPr>
          <w:cantSplit/>
          <w:trHeight w:val="285"/>
        </w:trPr>
        <w:tc>
          <w:tcPr>
            <w:tcW w:w="9158" w:type="dxa"/>
            <w:shd w:val="clear" w:color="auto" w:fill="D9D9D9" w:themeFill="background1" w:themeFillShade="D9"/>
          </w:tcPr>
          <w:p w14:paraId="3FDE69F0" w14:textId="77777777" w:rsidR="000005EF" w:rsidRPr="003D2D06" w:rsidRDefault="000005EF" w:rsidP="00E52F47">
            <w:pPr>
              <w:pStyle w:val="Heading1"/>
            </w:pPr>
            <w:bookmarkStart w:id="11" w:name="_Toc95905335"/>
            <w:r w:rsidRPr="003D2D06">
              <w:t xml:space="preserve">Section </w:t>
            </w:r>
            <w:r>
              <w:t>4 – Therapeutic Drug Monitoring (TDM)</w:t>
            </w:r>
            <w:bookmarkEnd w:id="11"/>
          </w:p>
        </w:tc>
      </w:tr>
    </w:tbl>
    <w:p w14:paraId="68B09656" w14:textId="77777777" w:rsidR="000005EF" w:rsidRDefault="000005EF" w:rsidP="000005EF"/>
    <w:p w14:paraId="59845574" w14:textId="77777777" w:rsidR="000005EF" w:rsidRDefault="000005EF" w:rsidP="000005EF">
      <w:r>
        <w:t xml:space="preserve">No TDM is necessary for: </w:t>
      </w:r>
    </w:p>
    <w:p w14:paraId="44CF38C7" w14:textId="77777777" w:rsidR="000005EF" w:rsidRDefault="000005EF" w:rsidP="000005EF">
      <w:pPr>
        <w:pStyle w:val="ListParagraph"/>
        <w:numPr>
          <w:ilvl w:val="0"/>
          <w:numId w:val="21"/>
        </w:numPr>
      </w:pPr>
      <w:r>
        <w:t xml:space="preserve">An otherwise healthy child or oncology patient, if treatment is planned for up to 3 doses (48hrs treatment) only; and </w:t>
      </w:r>
    </w:p>
    <w:p w14:paraId="5CC20AE0" w14:textId="77777777" w:rsidR="000005EF" w:rsidRDefault="000005EF" w:rsidP="000005EF">
      <w:pPr>
        <w:pStyle w:val="ListParagraph"/>
        <w:numPr>
          <w:ilvl w:val="1"/>
          <w:numId w:val="21"/>
        </w:numPr>
      </w:pPr>
      <w:r>
        <w:t>Renal function is normal at baseline and during treatment if checked</w:t>
      </w:r>
    </w:p>
    <w:p w14:paraId="1B281263" w14:textId="77777777" w:rsidR="000005EF" w:rsidRDefault="000005EF" w:rsidP="000005EF">
      <w:pPr>
        <w:pStyle w:val="ListParagraph"/>
        <w:numPr>
          <w:ilvl w:val="1"/>
          <w:numId w:val="21"/>
        </w:numPr>
      </w:pPr>
      <w:r>
        <w:t>No concurrent nephrotoxic or ototoxic drugs are prescribed</w:t>
      </w:r>
    </w:p>
    <w:p w14:paraId="6B561FBA" w14:textId="77777777" w:rsidR="000005EF" w:rsidRDefault="000005EF" w:rsidP="000005EF">
      <w:pPr>
        <w:pStyle w:val="ListParagraph"/>
        <w:numPr>
          <w:ilvl w:val="1"/>
          <w:numId w:val="21"/>
        </w:numPr>
      </w:pPr>
      <w:r>
        <w:t xml:space="preserve">Child is not obese </w:t>
      </w:r>
    </w:p>
    <w:p w14:paraId="620C1283" w14:textId="77777777" w:rsidR="000005EF" w:rsidRDefault="000005EF" w:rsidP="000005EF">
      <w:pPr>
        <w:pStyle w:val="ListParagraph"/>
        <w:numPr>
          <w:ilvl w:val="1"/>
          <w:numId w:val="21"/>
        </w:numPr>
      </w:pPr>
      <w:r>
        <w:t>Child is not critically unwell</w:t>
      </w:r>
    </w:p>
    <w:p w14:paraId="042F13D2" w14:textId="77777777" w:rsidR="000005EF" w:rsidRDefault="000005EF" w:rsidP="000005EF">
      <w:pPr>
        <w:pStyle w:val="ListParagraph"/>
        <w:numPr>
          <w:ilvl w:val="1"/>
          <w:numId w:val="21"/>
        </w:numPr>
      </w:pPr>
      <w:r>
        <w:t>Child has no other risk factors for toxicity (see Precautions list, section 1 above)</w:t>
      </w:r>
    </w:p>
    <w:p w14:paraId="1D1805CE" w14:textId="0F36991B" w:rsidR="000005EF" w:rsidRPr="00C33484" w:rsidRDefault="000005EF" w:rsidP="000005EF">
      <w:pPr>
        <w:pStyle w:val="ListParagraph"/>
        <w:numPr>
          <w:ilvl w:val="1"/>
          <w:numId w:val="21"/>
        </w:numPr>
      </w:pPr>
      <w:r>
        <w:t xml:space="preserve">Oncology patients may have a plan to give or avoid gentamicin for management of fever or febrile neutropenia documented in their management plan. </w:t>
      </w:r>
    </w:p>
    <w:p w14:paraId="3DA37140" w14:textId="77777777" w:rsidR="000005EF" w:rsidRDefault="000005EF" w:rsidP="000005EF">
      <w:pPr>
        <w:spacing w:after="200" w:line="276" w:lineRule="auto"/>
        <w:rPr>
          <w:b/>
        </w:rPr>
      </w:pPr>
      <w:r>
        <w:rPr>
          <w:b/>
        </w:rPr>
        <w:br w:type="page"/>
      </w:r>
    </w:p>
    <w:p w14:paraId="423C6DAE" w14:textId="77777777" w:rsidR="000005EF" w:rsidRPr="00D64020" w:rsidRDefault="000005EF" w:rsidP="000005EF">
      <w:pPr>
        <w:rPr>
          <w:bCs/>
        </w:rPr>
      </w:pPr>
      <w:r w:rsidRPr="00D64020">
        <w:rPr>
          <w:b/>
        </w:rPr>
        <w:lastRenderedPageBreak/>
        <w:t xml:space="preserve">Table 3: </w:t>
      </w:r>
      <w:r>
        <w:rPr>
          <w:b/>
        </w:rPr>
        <w:t>TDM INDICATIONS AND METHODS</w:t>
      </w:r>
    </w:p>
    <w:tbl>
      <w:tblPr>
        <w:tblStyle w:val="TableGrid"/>
        <w:tblW w:w="0" w:type="auto"/>
        <w:tblLook w:val="04A0" w:firstRow="1" w:lastRow="0" w:firstColumn="1" w:lastColumn="0" w:noHBand="0" w:noVBand="1"/>
      </w:tblPr>
      <w:tblGrid>
        <w:gridCol w:w="1959"/>
        <w:gridCol w:w="1649"/>
        <w:gridCol w:w="1799"/>
        <w:gridCol w:w="1816"/>
        <w:gridCol w:w="1837"/>
      </w:tblGrid>
      <w:tr w:rsidR="000005EF" w14:paraId="5560A6AA" w14:textId="77777777" w:rsidTr="00E52F47">
        <w:tc>
          <w:tcPr>
            <w:tcW w:w="1959" w:type="dxa"/>
            <w:shd w:val="clear" w:color="auto" w:fill="D9D9D9" w:themeFill="background1" w:themeFillShade="D9"/>
          </w:tcPr>
          <w:p w14:paraId="2348865A" w14:textId="77777777" w:rsidR="000005EF" w:rsidRDefault="000005EF" w:rsidP="00E52F47">
            <w:pPr>
              <w:rPr>
                <w:bCs/>
              </w:rPr>
            </w:pPr>
            <w:r>
              <w:rPr>
                <w:bCs/>
              </w:rPr>
              <w:t>Indication</w:t>
            </w:r>
          </w:p>
        </w:tc>
        <w:tc>
          <w:tcPr>
            <w:tcW w:w="1649" w:type="dxa"/>
            <w:shd w:val="clear" w:color="auto" w:fill="D9D9D9" w:themeFill="background1" w:themeFillShade="D9"/>
          </w:tcPr>
          <w:p w14:paraId="3056F1E1" w14:textId="7FF9D7F1" w:rsidR="00706A49" w:rsidRPr="00706A49" w:rsidRDefault="00706A49" w:rsidP="00E52F47">
            <w:pPr>
              <w:rPr>
                <w:bCs/>
              </w:rPr>
            </w:pPr>
            <w:r w:rsidRPr="00706A49">
              <w:rPr>
                <w:bCs/>
              </w:rPr>
              <w:t xml:space="preserve">Clinical </w:t>
            </w:r>
            <w:r w:rsidR="006027FA" w:rsidRPr="00706A49">
              <w:rPr>
                <w:bCs/>
              </w:rPr>
              <w:t>considerations</w:t>
            </w:r>
          </w:p>
        </w:tc>
        <w:tc>
          <w:tcPr>
            <w:tcW w:w="1799" w:type="dxa"/>
            <w:shd w:val="clear" w:color="auto" w:fill="D9D9D9" w:themeFill="background1" w:themeFillShade="D9"/>
          </w:tcPr>
          <w:p w14:paraId="128A0DA6" w14:textId="77777777" w:rsidR="000005EF" w:rsidRDefault="000005EF" w:rsidP="00E52F47">
            <w:pPr>
              <w:rPr>
                <w:bCs/>
              </w:rPr>
            </w:pPr>
            <w:r>
              <w:rPr>
                <w:bCs/>
              </w:rPr>
              <w:t xml:space="preserve">Level </w:t>
            </w:r>
          </w:p>
        </w:tc>
        <w:tc>
          <w:tcPr>
            <w:tcW w:w="1816" w:type="dxa"/>
            <w:shd w:val="clear" w:color="auto" w:fill="D9D9D9" w:themeFill="background1" w:themeFillShade="D9"/>
          </w:tcPr>
          <w:p w14:paraId="553A42AA" w14:textId="77777777" w:rsidR="000005EF" w:rsidRDefault="000005EF" w:rsidP="00E52F47">
            <w:pPr>
              <w:rPr>
                <w:bCs/>
              </w:rPr>
            </w:pPr>
            <w:r>
              <w:rPr>
                <w:bCs/>
              </w:rPr>
              <w:t xml:space="preserve">Target trough Level </w:t>
            </w:r>
          </w:p>
        </w:tc>
        <w:tc>
          <w:tcPr>
            <w:tcW w:w="1837" w:type="dxa"/>
            <w:shd w:val="clear" w:color="auto" w:fill="D9D9D9" w:themeFill="background1" w:themeFillShade="D9"/>
          </w:tcPr>
          <w:p w14:paraId="371C57CA" w14:textId="77777777" w:rsidR="000005EF" w:rsidRDefault="000005EF" w:rsidP="00E52F47">
            <w:pPr>
              <w:rPr>
                <w:bCs/>
              </w:rPr>
            </w:pPr>
            <w:r>
              <w:rPr>
                <w:bCs/>
              </w:rPr>
              <w:t>Frequency of Monitoring</w:t>
            </w:r>
          </w:p>
        </w:tc>
      </w:tr>
      <w:tr w:rsidR="000005EF" w14:paraId="49089F80" w14:textId="77777777" w:rsidTr="00E52F47">
        <w:tc>
          <w:tcPr>
            <w:tcW w:w="1959" w:type="dxa"/>
          </w:tcPr>
          <w:p w14:paraId="77E6B021" w14:textId="77777777" w:rsidR="000005EF" w:rsidRDefault="000005EF" w:rsidP="00E52F47">
            <w:r>
              <w:t xml:space="preserve">Infant (1 month or older) or child in whom treatment is required beyond 48hrs and renal function is normal </w:t>
            </w:r>
          </w:p>
        </w:tc>
        <w:tc>
          <w:tcPr>
            <w:tcW w:w="1649" w:type="dxa"/>
          </w:tcPr>
          <w:p w14:paraId="67FFE32A" w14:textId="7B8E479B" w:rsidR="000005EF" w:rsidRDefault="000005EF" w:rsidP="00E52F47">
            <w:pPr>
              <w:rPr>
                <w:bCs/>
              </w:rPr>
            </w:pPr>
            <w:r>
              <w:rPr>
                <w:bCs/>
              </w:rPr>
              <w:t>Review use, try to cease or switch agent or seek Infectious Disease (ID) advice</w:t>
            </w:r>
          </w:p>
        </w:tc>
        <w:tc>
          <w:tcPr>
            <w:tcW w:w="1799" w:type="dxa"/>
          </w:tcPr>
          <w:p w14:paraId="5EBAA1CA" w14:textId="77777777" w:rsidR="000005EF" w:rsidRDefault="000005EF" w:rsidP="00E52F47">
            <w:pPr>
              <w:rPr>
                <w:bCs/>
              </w:rPr>
            </w:pPr>
            <w:r>
              <w:rPr>
                <w:bCs/>
              </w:rPr>
              <w:t>Trough level* before 4</w:t>
            </w:r>
            <w:r w:rsidRPr="00C662BE">
              <w:rPr>
                <w:bCs/>
                <w:vertAlign w:val="superscript"/>
              </w:rPr>
              <w:t>th</w:t>
            </w:r>
            <w:r>
              <w:rPr>
                <w:bCs/>
              </w:rPr>
              <w:t xml:space="preserve"> dose </w:t>
            </w:r>
          </w:p>
        </w:tc>
        <w:tc>
          <w:tcPr>
            <w:tcW w:w="1816" w:type="dxa"/>
          </w:tcPr>
          <w:p w14:paraId="38DDB2ED" w14:textId="77777777" w:rsidR="000005EF" w:rsidRDefault="000005EF" w:rsidP="00E52F47">
            <w:pPr>
              <w:rPr>
                <w:bCs/>
              </w:rPr>
            </w:pPr>
            <w:r>
              <w:rPr>
                <w:bCs/>
              </w:rPr>
              <w:t>&lt;1mg/L</w:t>
            </w:r>
          </w:p>
        </w:tc>
        <w:tc>
          <w:tcPr>
            <w:tcW w:w="1837" w:type="dxa"/>
          </w:tcPr>
          <w:p w14:paraId="2C260132" w14:textId="77777777" w:rsidR="000005EF" w:rsidRDefault="000005EF" w:rsidP="00E52F47">
            <w:pPr>
              <w:rPr>
                <w:bCs/>
              </w:rPr>
            </w:pPr>
            <w:r>
              <w:rPr>
                <w:bCs/>
              </w:rPr>
              <w:t>Every 3 days, more often if risk of rapid renal function change (</w:t>
            </w:r>
            <w:proofErr w:type="spellStart"/>
            <w:r>
              <w:rPr>
                <w:bCs/>
              </w:rPr>
              <w:t>eg.</w:t>
            </w:r>
            <w:proofErr w:type="spellEnd"/>
            <w:r>
              <w:rPr>
                <w:bCs/>
              </w:rPr>
              <w:t xml:space="preserve"> septic or critically ill patient)</w:t>
            </w:r>
          </w:p>
        </w:tc>
      </w:tr>
      <w:tr w:rsidR="000005EF" w14:paraId="17B1274C" w14:textId="77777777" w:rsidTr="00E52F47">
        <w:tc>
          <w:tcPr>
            <w:tcW w:w="1959" w:type="dxa"/>
          </w:tcPr>
          <w:p w14:paraId="6ADBBE26" w14:textId="77777777" w:rsidR="000005EF" w:rsidRDefault="000005EF" w:rsidP="00E52F47">
            <w:pPr>
              <w:rPr>
                <w:bCs/>
              </w:rPr>
            </w:pPr>
            <w:r>
              <w:rPr>
                <w:bCs/>
              </w:rPr>
              <w:t>Neonate (&lt;1 month old) in whom treatment required for &gt;48hrs and normal renal function</w:t>
            </w:r>
          </w:p>
          <w:p w14:paraId="0B1AB10B" w14:textId="77777777" w:rsidR="000005EF" w:rsidRDefault="000005EF" w:rsidP="00E52F47">
            <w:pPr>
              <w:rPr>
                <w:bCs/>
              </w:rPr>
            </w:pPr>
          </w:p>
        </w:tc>
        <w:tc>
          <w:tcPr>
            <w:tcW w:w="1649" w:type="dxa"/>
          </w:tcPr>
          <w:p w14:paraId="1A06A294" w14:textId="77777777" w:rsidR="000005EF" w:rsidRDefault="000005EF" w:rsidP="00E52F47">
            <w:pPr>
              <w:rPr>
                <w:bCs/>
              </w:rPr>
            </w:pPr>
            <w:r>
              <w:rPr>
                <w:bCs/>
              </w:rPr>
              <w:t>Review use, try to cease or switch agent or seek ID advice</w:t>
            </w:r>
          </w:p>
        </w:tc>
        <w:tc>
          <w:tcPr>
            <w:tcW w:w="1799" w:type="dxa"/>
          </w:tcPr>
          <w:p w14:paraId="0B97C85B" w14:textId="77777777" w:rsidR="000005EF" w:rsidRDefault="000005EF" w:rsidP="00E52F47">
            <w:pPr>
              <w:rPr>
                <w:bCs/>
              </w:rPr>
            </w:pPr>
            <w:r w:rsidRPr="00F170EC">
              <w:rPr>
                <w:bCs/>
              </w:rPr>
              <w:t>At 22 hours after the second dose</w:t>
            </w:r>
          </w:p>
        </w:tc>
        <w:tc>
          <w:tcPr>
            <w:tcW w:w="1816" w:type="dxa"/>
          </w:tcPr>
          <w:p w14:paraId="58EE1490" w14:textId="77777777" w:rsidR="000005EF" w:rsidRDefault="000005EF" w:rsidP="00E52F47">
            <w:pPr>
              <w:rPr>
                <w:bCs/>
              </w:rPr>
            </w:pPr>
            <w:r>
              <w:rPr>
                <w:bCs/>
              </w:rPr>
              <w:t>See Table 4 below</w:t>
            </w:r>
          </w:p>
        </w:tc>
        <w:tc>
          <w:tcPr>
            <w:tcW w:w="1837" w:type="dxa"/>
          </w:tcPr>
          <w:p w14:paraId="4097B96B" w14:textId="77777777" w:rsidR="000005EF" w:rsidRDefault="000005EF" w:rsidP="00E52F47">
            <w:pPr>
              <w:rPr>
                <w:bCs/>
              </w:rPr>
            </w:pPr>
          </w:p>
        </w:tc>
      </w:tr>
      <w:tr w:rsidR="000005EF" w14:paraId="6A737477" w14:textId="77777777" w:rsidTr="00E52F47">
        <w:tc>
          <w:tcPr>
            <w:tcW w:w="1959" w:type="dxa"/>
          </w:tcPr>
          <w:p w14:paraId="023D57E5" w14:textId="77777777" w:rsidR="000005EF" w:rsidRDefault="000005EF" w:rsidP="00E52F47">
            <w:pPr>
              <w:rPr>
                <w:bCs/>
              </w:rPr>
            </w:pPr>
            <w:r>
              <w:rPr>
                <w:bCs/>
              </w:rPr>
              <w:t>Renal impairment or unstable renal function at any age</w:t>
            </w:r>
          </w:p>
        </w:tc>
        <w:tc>
          <w:tcPr>
            <w:tcW w:w="1649" w:type="dxa"/>
          </w:tcPr>
          <w:p w14:paraId="06619209" w14:textId="77777777" w:rsidR="000005EF" w:rsidRDefault="000005EF" w:rsidP="00E52F47">
            <w:pPr>
              <w:rPr>
                <w:bCs/>
              </w:rPr>
            </w:pPr>
            <w:r>
              <w:rPr>
                <w:bCs/>
              </w:rPr>
              <w:t>Review use, try to cease or switch agent or seek ID advice</w:t>
            </w:r>
          </w:p>
        </w:tc>
        <w:tc>
          <w:tcPr>
            <w:tcW w:w="1799" w:type="dxa"/>
          </w:tcPr>
          <w:p w14:paraId="682C0C55" w14:textId="77777777" w:rsidR="000005EF" w:rsidRDefault="000005EF" w:rsidP="00E52F47">
            <w:pPr>
              <w:rPr>
                <w:bCs/>
              </w:rPr>
            </w:pPr>
            <w:r>
              <w:rPr>
                <w:bCs/>
              </w:rPr>
              <w:t>Trough level before every dose</w:t>
            </w:r>
          </w:p>
        </w:tc>
        <w:tc>
          <w:tcPr>
            <w:tcW w:w="1816" w:type="dxa"/>
          </w:tcPr>
          <w:p w14:paraId="7CE1F806" w14:textId="77777777" w:rsidR="000005EF" w:rsidRDefault="000005EF" w:rsidP="00E52F47">
            <w:pPr>
              <w:rPr>
                <w:bCs/>
              </w:rPr>
            </w:pPr>
            <w:r>
              <w:rPr>
                <w:bCs/>
              </w:rPr>
              <w:t>Discuss with renal specialist- usually &lt;1mg/L if receiving once daily dosing, &lt;2mg/L if receiving multiple daily dosing</w:t>
            </w:r>
          </w:p>
        </w:tc>
        <w:tc>
          <w:tcPr>
            <w:tcW w:w="1837" w:type="dxa"/>
          </w:tcPr>
          <w:p w14:paraId="03F50953" w14:textId="77777777" w:rsidR="000005EF" w:rsidRDefault="000005EF" w:rsidP="00E52F47">
            <w:pPr>
              <w:rPr>
                <w:bCs/>
              </w:rPr>
            </w:pPr>
            <w:r>
              <w:rPr>
                <w:bCs/>
              </w:rPr>
              <w:t>Before every dose while renal function impaired</w:t>
            </w:r>
          </w:p>
        </w:tc>
      </w:tr>
    </w:tbl>
    <w:p w14:paraId="65F88EC8" w14:textId="3C28B329" w:rsidR="000005EF" w:rsidRPr="0066715C" w:rsidRDefault="000005EF" w:rsidP="000005EF">
      <w:r>
        <w:t>*Trough levels should be taken 30mins prior to the next dose being due.</w:t>
      </w:r>
    </w:p>
    <w:p w14:paraId="0B8A6D72" w14:textId="006E03A4" w:rsidR="000005EF" w:rsidRPr="00647E23" w:rsidRDefault="000005EF" w:rsidP="000005EF">
      <w:pPr>
        <w:rPr>
          <w:rFonts w:asciiTheme="minorHAnsi" w:hAnsiTheme="minorHAnsi" w:cstheme="minorHAnsi"/>
          <w:b/>
          <w:szCs w:val="24"/>
        </w:rPr>
      </w:pPr>
      <w:r>
        <w:rPr>
          <w:rFonts w:asciiTheme="minorHAnsi" w:hAnsiTheme="minorHAnsi" w:cstheme="minorHAnsi"/>
          <w:b/>
          <w:szCs w:val="24"/>
        </w:rPr>
        <w:t xml:space="preserve">Table 4: </w:t>
      </w:r>
      <w:r w:rsidRPr="00647E23">
        <w:rPr>
          <w:rFonts w:asciiTheme="minorHAnsi" w:hAnsiTheme="minorHAnsi" w:cstheme="minorHAnsi"/>
          <w:b/>
          <w:szCs w:val="24"/>
        </w:rPr>
        <w:t>N</w:t>
      </w:r>
      <w:r>
        <w:rPr>
          <w:rFonts w:asciiTheme="minorHAnsi" w:hAnsiTheme="minorHAnsi" w:cstheme="minorHAnsi"/>
          <w:b/>
          <w:szCs w:val="24"/>
        </w:rPr>
        <w:t>EONATAL</w:t>
      </w:r>
      <w:r w:rsidRPr="00647E23">
        <w:rPr>
          <w:rFonts w:asciiTheme="minorHAnsi" w:hAnsiTheme="minorHAnsi" w:cstheme="minorHAnsi"/>
          <w:b/>
          <w:szCs w:val="24"/>
        </w:rPr>
        <w:t xml:space="preserve"> (</w:t>
      </w:r>
      <w:r>
        <w:rPr>
          <w:rFonts w:asciiTheme="minorHAnsi" w:hAnsiTheme="minorHAnsi" w:cstheme="minorHAnsi"/>
          <w:b/>
          <w:szCs w:val="24"/>
        </w:rPr>
        <w:t>AGED</w:t>
      </w:r>
      <w:r w:rsidRPr="00647E23">
        <w:rPr>
          <w:rFonts w:asciiTheme="minorHAnsi" w:hAnsiTheme="minorHAnsi" w:cstheme="minorHAnsi"/>
          <w:b/>
          <w:szCs w:val="24"/>
        </w:rPr>
        <w:t xml:space="preserve"> &lt;1 </w:t>
      </w:r>
      <w:r>
        <w:rPr>
          <w:rFonts w:asciiTheme="minorHAnsi" w:hAnsiTheme="minorHAnsi" w:cstheme="minorHAnsi"/>
          <w:b/>
          <w:szCs w:val="24"/>
        </w:rPr>
        <w:t>MONTH</w:t>
      </w:r>
      <w:r w:rsidRPr="00647E23">
        <w:rPr>
          <w:rFonts w:asciiTheme="minorHAnsi" w:hAnsiTheme="minorHAnsi" w:cstheme="minorHAnsi"/>
          <w:b/>
          <w:szCs w:val="24"/>
        </w:rPr>
        <w:t>) M</w:t>
      </w:r>
      <w:r>
        <w:rPr>
          <w:rFonts w:asciiTheme="minorHAnsi" w:hAnsiTheme="minorHAnsi" w:cstheme="minorHAnsi"/>
          <w:b/>
          <w:szCs w:val="24"/>
        </w:rPr>
        <w:t>ONITORING IF SUSPECTED TO REQUIRE</w:t>
      </w:r>
      <w:r w:rsidRPr="00647E23">
        <w:rPr>
          <w:rFonts w:asciiTheme="minorHAnsi" w:hAnsiTheme="minorHAnsi" w:cstheme="minorHAnsi"/>
          <w:b/>
          <w:szCs w:val="24"/>
        </w:rPr>
        <w:t xml:space="preserve"> &gt;48</w:t>
      </w:r>
      <w:r>
        <w:rPr>
          <w:rFonts w:asciiTheme="minorHAnsi" w:hAnsiTheme="minorHAnsi" w:cstheme="minorHAnsi"/>
          <w:b/>
          <w:szCs w:val="24"/>
        </w:rPr>
        <w:t>HRS OF TREATMENT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4917"/>
      </w:tblGrid>
      <w:tr w:rsidR="000005EF" w:rsidRPr="00816349" w14:paraId="1FDE2B77" w14:textId="77777777" w:rsidTr="00E52F47">
        <w:trPr>
          <w:trHeight w:val="397"/>
        </w:trPr>
        <w:tc>
          <w:tcPr>
            <w:tcW w:w="3931" w:type="dxa"/>
            <w:shd w:val="clear" w:color="auto" w:fill="D9D9D9" w:themeFill="background1" w:themeFillShade="D9"/>
          </w:tcPr>
          <w:p w14:paraId="58955946" w14:textId="77777777" w:rsidR="000005EF" w:rsidRPr="00816349" w:rsidRDefault="000005EF" w:rsidP="00E52F47">
            <w:pPr>
              <w:autoSpaceDE w:val="0"/>
              <w:autoSpaceDN w:val="0"/>
              <w:adjustRightInd w:val="0"/>
              <w:rPr>
                <w:rFonts w:asciiTheme="minorHAnsi" w:eastAsiaTheme="minorHAnsi" w:hAnsiTheme="minorHAnsi" w:cstheme="minorHAnsi"/>
                <w:color w:val="000000"/>
                <w:szCs w:val="24"/>
              </w:rPr>
            </w:pPr>
            <w:r w:rsidRPr="00816349">
              <w:rPr>
                <w:rFonts w:asciiTheme="minorHAnsi" w:eastAsiaTheme="minorHAnsi" w:hAnsiTheme="minorHAnsi" w:cstheme="minorHAnsi"/>
                <w:color w:val="000000"/>
                <w:szCs w:val="24"/>
              </w:rPr>
              <w:t>Gentamicin level (22 hours post</w:t>
            </w:r>
            <w:r>
              <w:rPr>
                <w:rFonts w:asciiTheme="minorHAnsi" w:eastAsiaTheme="minorHAnsi" w:hAnsiTheme="minorHAnsi" w:cstheme="minorHAnsi"/>
                <w:color w:val="000000"/>
                <w:szCs w:val="24"/>
              </w:rPr>
              <w:t xml:space="preserve"> </w:t>
            </w:r>
            <w:r w:rsidRPr="00816349">
              <w:rPr>
                <w:rFonts w:asciiTheme="minorHAnsi" w:eastAsiaTheme="minorHAnsi" w:hAnsiTheme="minorHAnsi" w:cstheme="minorHAnsi"/>
                <w:color w:val="000000"/>
                <w:szCs w:val="24"/>
              </w:rPr>
              <w:t xml:space="preserve">dose) </w:t>
            </w:r>
          </w:p>
        </w:tc>
        <w:tc>
          <w:tcPr>
            <w:tcW w:w="4917" w:type="dxa"/>
            <w:shd w:val="clear" w:color="auto" w:fill="D9D9D9" w:themeFill="background1" w:themeFillShade="D9"/>
          </w:tcPr>
          <w:p w14:paraId="748EA85F" w14:textId="77777777" w:rsidR="000005EF" w:rsidRPr="00816349" w:rsidRDefault="000005EF" w:rsidP="00E52F47">
            <w:pPr>
              <w:autoSpaceDE w:val="0"/>
              <w:autoSpaceDN w:val="0"/>
              <w:adjustRightInd w:val="0"/>
              <w:rPr>
                <w:rFonts w:asciiTheme="minorHAnsi" w:eastAsiaTheme="minorHAnsi" w:hAnsiTheme="minorHAnsi" w:cstheme="minorHAnsi"/>
                <w:color w:val="000000"/>
                <w:szCs w:val="24"/>
              </w:rPr>
            </w:pPr>
            <w:r w:rsidRPr="00647E23">
              <w:rPr>
                <w:rFonts w:asciiTheme="minorHAnsi" w:eastAsiaTheme="minorHAnsi" w:hAnsiTheme="minorHAnsi" w:cstheme="minorHAnsi"/>
                <w:color w:val="000000"/>
                <w:szCs w:val="24"/>
              </w:rPr>
              <w:t xml:space="preserve">Dosing </w:t>
            </w:r>
            <w:r w:rsidRPr="00816349">
              <w:rPr>
                <w:rFonts w:asciiTheme="minorHAnsi" w:eastAsiaTheme="minorHAnsi" w:hAnsiTheme="minorHAnsi" w:cstheme="minorHAnsi"/>
                <w:color w:val="000000"/>
                <w:szCs w:val="24"/>
              </w:rPr>
              <w:t xml:space="preserve">Interval </w:t>
            </w:r>
          </w:p>
        </w:tc>
      </w:tr>
      <w:tr w:rsidR="000005EF" w:rsidRPr="00816349" w14:paraId="571FCA9F" w14:textId="77777777" w:rsidTr="00E52F47">
        <w:trPr>
          <w:trHeight w:val="397"/>
        </w:trPr>
        <w:tc>
          <w:tcPr>
            <w:tcW w:w="3931" w:type="dxa"/>
          </w:tcPr>
          <w:p w14:paraId="29363DE3" w14:textId="77777777" w:rsidR="000005EF" w:rsidRPr="00816349" w:rsidRDefault="000005EF" w:rsidP="00E52F47">
            <w:pPr>
              <w:rPr>
                <w:rFonts w:asciiTheme="minorHAnsi" w:hAnsiTheme="minorHAnsi" w:cstheme="minorHAnsi"/>
                <w:bCs/>
                <w:szCs w:val="24"/>
              </w:rPr>
            </w:pPr>
            <w:r w:rsidRPr="00816349">
              <w:rPr>
                <w:rFonts w:asciiTheme="minorHAnsi" w:hAnsiTheme="minorHAnsi" w:cstheme="minorHAnsi"/>
                <w:bCs/>
                <w:szCs w:val="24"/>
              </w:rPr>
              <w:t xml:space="preserve">≤ 1.2 mg/L </w:t>
            </w:r>
          </w:p>
        </w:tc>
        <w:tc>
          <w:tcPr>
            <w:tcW w:w="4917" w:type="dxa"/>
          </w:tcPr>
          <w:p w14:paraId="20F0F626" w14:textId="77777777" w:rsidR="000005EF" w:rsidRPr="00816349" w:rsidRDefault="000005EF" w:rsidP="00E52F47">
            <w:pPr>
              <w:rPr>
                <w:rFonts w:asciiTheme="minorHAnsi" w:hAnsiTheme="minorHAnsi" w:cstheme="minorHAnsi"/>
                <w:bCs/>
                <w:szCs w:val="24"/>
              </w:rPr>
            </w:pPr>
            <w:r w:rsidRPr="00816349">
              <w:rPr>
                <w:rFonts w:asciiTheme="minorHAnsi" w:hAnsiTheme="minorHAnsi" w:cstheme="minorHAnsi"/>
                <w:bCs/>
                <w:szCs w:val="24"/>
              </w:rPr>
              <w:t xml:space="preserve">Every 24 hours after previous dose </w:t>
            </w:r>
          </w:p>
        </w:tc>
      </w:tr>
      <w:tr w:rsidR="000005EF" w:rsidRPr="00816349" w14:paraId="71EAFFF3" w14:textId="77777777" w:rsidTr="00E52F47">
        <w:trPr>
          <w:trHeight w:val="397"/>
        </w:trPr>
        <w:tc>
          <w:tcPr>
            <w:tcW w:w="3931" w:type="dxa"/>
          </w:tcPr>
          <w:p w14:paraId="79AD2627" w14:textId="77777777" w:rsidR="000005EF" w:rsidRPr="00816349" w:rsidRDefault="000005EF" w:rsidP="00E52F47">
            <w:pPr>
              <w:rPr>
                <w:rFonts w:asciiTheme="minorHAnsi" w:hAnsiTheme="minorHAnsi" w:cstheme="minorHAnsi"/>
                <w:bCs/>
                <w:szCs w:val="24"/>
              </w:rPr>
            </w:pPr>
            <w:r w:rsidRPr="00816349">
              <w:rPr>
                <w:rFonts w:asciiTheme="minorHAnsi" w:hAnsiTheme="minorHAnsi" w:cstheme="minorHAnsi"/>
                <w:bCs/>
                <w:szCs w:val="24"/>
              </w:rPr>
              <w:t xml:space="preserve">1.3 mg/L ─ 2.6 mg/L </w:t>
            </w:r>
          </w:p>
        </w:tc>
        <w:tc>
          <w:tcPr>
            <w:tcW w:w="4917" w:type="dxa"/>
          </w:tcPr>
          <w:p w14:paraId="029D91B2" w14:textId="77777777" w:rsidR="000005EF" w:rsidRPr="00816349" w:rsidRDefault="000005EF" w:rsidP="00E52F47">
            <w:pPr>
              <w:rPr>
                <w:rFonts w:asciiTheme="minorHAnsi" w:hAnsiTheme="minorHAnsi" w:cstheme="minorHAnsi"/>
                <w:bCs/>
                <w:szCs w:val="24"/>
              </w:rPr>
            </w:pPr>
            <w:r w:rsidRPr="00816349">
              <w:rPr>
                <w:rFonts w:asciiTheme="minorHAnsi" w:hAnsiTheme="minorHAnsi" w:cstheme="minorHAnsi"/>
                <w:bCs/>
                <w:szCs w:val="24"/>
              </w:rPr>
              <w:t xml:space="preserve">Every 36 hours after previous dose </w:t>
            </w:r>
          </w:p>
        </w:tc>
      </w:tr>
      <w:tr w:rsidR="000005EF" w:rsidRPr="00816349" w14:paraId="75B2D1C8" w14:textId="77777777" w:rsidTr="00E52F47">
        <w:trPr>
          <w:trHeight w:val="397"/>
        </w:trPr>
        <w:tc>
          <w:tcPr>
            <w:tcW w:w="3931" w:type="dxa"/>
          </w:tcPr>
          <w:p w14:paraId="5F6A0683" w14:textId="77777777" w:rsidR="000005EF" w:rsidRPr="00816349" w:rsidRDefault="000005EF" w:rsidP="00E52F47">
            <w:pPr>
              <w:rPr>
                <w:rFonts w:asciiTheme="minorHAnsi" w:hAnsiTheme="minorHAnsi" w:cstheme="minorHAnsi"/>
                <w:bCs/>
                <w:szCs w:val="24"/>
              </w:rPr>
            </w:pPr>
            <w:r w:rsidRPr="00816349">
              <w:rPr>
                <w:rFonts w:asciiTheme="minorHAnsi" w:hAnsiTheme="minorHAnsi" w:cstheme="minorHAnsi"/>
                <w:bCs/>
                <w:szCs w:val="24"/>
              </w:rPr>
              <w:t xml:space="preserve">2.7 mg/L ─ 3.5 mg/L </w:t>
            </w:r>
          </w:p>
        </w:tc>
        <w:tc>
          <w:tcPr>
            <w:tcW w:w="4917" w:type="dxa"/>
          </w:tcPr>
          <w:p w14:paraId="0188BC77" w14:textId="77777777" w:rsidR="000005EF" w:rsidRPr="00816349" w:rsidRDefault="000005EF" w:rsidP="00E52F47">
            <w:pPr>
              <w:rPr>
                <w:rFonts w:asciiTheme="minorHAnsi" w:hAnsiTheme="minorHAnsi" w:cstheme="minorHAnsi"/>
                <w:bCs/>
                <w:szCs w:val="24"/>
              </w:rPr>
            </w:pPr>
            <w:r w:rsidRPr="00816349">
              <w:rPr>
                <w:rFonts w:asciiTheme="minorHAnsi" w:hAnsiTheme="minorHAnsi" w:cstheme="minorHAnsi"/>
                <w:bCs/>
                <w:szCs w:val="24"/>
              </w:rPr>
              <w:t xml:space="preserve">Every 48 hours after previous dose </w:t>
            </w:r>
          </w:p>
        </w:tc>
      </w:tr>
      <w:tr w:rsidR="000005EF" w:rsidRPr="00816349" w14:paraId="27251F2F" w14:textId="77777777" w:rsidTr="00E52F47">
        <w:trPr>
          <w:trHeight w:val="397"/>
        </w:trPr>
        <w:tc>
          <w:tcPr>
            <w:tcW w:w="3931" w:type="dxa"/>
          </w:tcPr>
          <w:p w14:paraId="6826DA78" w14:textId="77777777" w:rsidR="000005EF" w:rsidRPr="00816349" w:rsidRDefault="000005EF" w:rsidP="00E52F47">
            <w:pPr>
              <w:rPr>
                <w:rFonts w:asciiTheme="minorHAnsi" w:hAnsiTheme="minorHAnsi" w:cstheme="minorHAnsi"/>
                <w:bCs/>
                <w:szCs w:val="24"/>
              </w:rPr>
            </w:pPr>
            <w:r w:rsidRPr="00816349">
              <w:rPr>
                <w:rFonts w:asciiTheme="minorHAnsi" w:hAnsiTheme="minorHAnsi" w:cstheme="minorHAnsi"/>
                <w:bCs/>
                <w:szCs w:val="24"/>
              </w:rPr>
              <w:t xml:space="preserve">≥ 3.6 mg/L </w:t>
            </w:r>
          </w:p>
        </w:tc>
        <w:tc>
          <w:tcPr>
            <w:tcW w:w="4917" w:type="dxa"/>
          </w:tcPr>
          <w:p w14:paraId="359819DE" w14:textId="77777777" w:rsidR="000005EF" w:rsidRPr="00816349" w:rsidRDefault="000005EF" w:rsidP="00E52F47">
            <w:pPr>
              <w:rPr>
                <w:rFonts w:asciiTheme="minorHAnsi" w:hAnsiTheme="minorHAnsi" w:cstheme="minorHAnsi"/>
                <w:bCs/>
                <w:szCs w:val="24"/>
              </w:rPr>
            </w:pPr>
            <w:r w:rsidRPr="00816349">
              <w:rPr>
                <w:rFonts w:asciiTheme="minorHAnsi" w:hAnsiTheme="minorHAnsi" w:cstheme="minorHAnsi"/>
                <w:bCs/>
                <w:szCs w:val="24"/>
              </w:rPr>
              <w:t xml:space="preserve">Hold dose, repeat concentration at 24 hours </w:t>
            </w:r>
          </w:p>
        </w:tc>
      </w:tr>
    </w:tbl>
    <w:p w14:paraId="562A1721" w14:textId="77777777" w:rsidR="000005EF" w:rsidRPr="00BD0396" w:rsidRDefault="000005EF" w:rsidP="000005EF">
      <w:pPr>
        <w:rPr>
          <w:bCs/>
        </w:rPr>
      </w:pPr>
    </w:p>
    <w:p w14:paraId="27C62AA7" w14:textId="77777777" w:rsidR="000005EF" w:rsidRPr="00647E23" w:rsidRDefault="000005EF" w:rsidP="000005EF">
      <w:pPr>
        <w:rPr>
          <w:b/>
          <w:bCs/>
        </w:rPr>
      </w:pPr>
      <w:r w:rsidRPr="00647E23">
        <w:rPr>
          <w:b/>
          <w:bCs/>
        </w:rPr>
        <w:t>Management of a High Trough Level</w:t>
      </w:r>
    </w:p>
    <w:p w14:paraId="785EFE17" w14:textId="77777777" w:rsidR="000005EF" w:rsidRPr="00647E23" w:rsidRDefault="000005EF" w:rsidP="000005EF">
      <w:r w:rsidRPr="00647E23">
        <w:t>Fo</w:t>
      </w:r>
      <w:r>
        <w:t>r any patient, if the gentamicin trough level is high, discuss need for ongoing therapy with the treating Paediatrician or Infectious Diseases Specialist, and check renal function.</w:t>
      </w:r>
    </w:p>
    <w:p w14:paraId="6F46A5C0" w14:textId="77777777" w:rsidR="000005EF" w:rsidRDefault="000005EF" w:rsidP="000005EF">
      <w:pPr>
        <w:rPr>
          <w:rFonts w:eastAsiaTheme="minorHAnsi"/>
        </w:rPr>
      </w:pPr>
    </w:p>
    <w:p w14:paraId="04519816" w14:textId="77777777" w:rsidR="000005EF" w:rsidRDefault="000005EF" w:rsidP="000005EF"/>
    <w:p w14:paraId="494435AB" w14:textId="77777777" w:rsidR="000005EF" w:rsidRDefault="00330BA3" w:rsidP="000005EF">
      <w:pPr>
        <w:jc w:val="right"/>
        <w:rPr>
          <w:rFonts w:cs="Arial"/>
          <w:b/>
          <w:szCs w:val="24"/>
        </w:rPr>
      </w:pPr>
      <w:hyperlink w:anchor="Contents" w:history="1">
        <w:r w:rsidR="000005EF" w:rsidRPr="0042293D">
          <w:rPr>
            <w:rStyle w:val="Hyperlink"/>
            <w:rFonts w:eastAsiaTheme="majorEastAsia" w:cs="Arial"/>
            <w:i/>
            <w:szCs w:val="24"/>
          </w:rPr>
          <w:t>Back to Table of Contents</w:t>
        </w:r>
      </w:hyperlink>
      <w:r w:rsidR="000005EF" w:rsidRPr="0042293D">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CD1C0E" w14:paraId="1D45C4B8" w14:textId="77777777" w:rsidTr="00E52F47">
        <w:trPr>
          <w:cantSplit/>
          <w:trHeight w:val="285"/>
        </w:trPr>
        <w:tc>
          <w:tcPr>
            <w:tcW w:w="9158" w:type="dxa"/>
            <w:shd w:val="clear" w:color="auto" w:fill="D9D9D9" w:themeFill="background1" w:themeFillShade="D9"/>
          </w:tcPr>
          <w:p w14:paraId="58CBCB5E" w14:textId="77777777" w:rsidR="000005EF" w:rsidRPr="0042293D" w:rsidRDefault="000005EF" w:rsidP="00E52F47">
            <w:pPr>
              <w:pStyle w:val="Heading1"/>
            </w:pPr>
            <w:bookmarkStart w:id="12" w:name="_Toc95905336"/>
            <w:r w:rsidRPr="003D2D06">
              <w:lastRenderedPageBreak/>
              <w:t xml:space="preserve">Section </w:t>
            </w:r>
            <w:r>
              <w:t>5 – Incompatibilities and Interactions</w:t>
            </w:r>
            <w:bookmarkEnd w:id="12"/>
          </w:p>
        </w:tc>
      </w:tr>
    </w:tbl>
    <w:p w14:paraId="18988C15" w14:textId="77777777" w:rsidR="000005EF" w:rsidRDefault="000005EF" w:rsidP="000005EF">
      <w:pPr>
        <w:pStyle w:val="ListParagraph"/>
        <w:ind w:left="765"/>
        <w:jc w:val="both"/>
        <w:rPr>
          <w:rFonts w:cs="Calibri"/>
          <w:szCs w:val="24"/>
        </w:rPr>
      </w:pPr>
    </w:p>
    <w:p w14:paraId="2F42AED0" w14:textId="77777777" w:rsidR="000005EF" w:rsidRPr="003838EF" w:rsidRDefault="000005EF" w:rsidP="000005EF">
      <w:pPr>
        <w:pStyle w:val="ListParagraph"/>
        <w:numPr>
          <w:ilvl w:val="0"/>
          <w:numId w:val="16"/>
        </w:numPr>
        <w:ind w:left="357" w:hanging="357"/>
        <w:jc w:val="both"/>
        <w:rPr>
          <w:rFonts w:cs="Arial"/>
          <w:bCs/>
          <w:szCs w:val="24"/>
        </w:rPr>
      </w:pPr>
      <w:r w:rsidRPr="003838EF">
        <w:rPr>
          <w:rFonts w:cs="Arial"/>
          <w:bCs/>
          <w:szCs w:val="24"/>
        </w:rPr>
        <w:t xml:space="preserve">Aminoglycosides have many incompatibilities, so should not be mixed with other drugs. For more information on specific drug incompatibilities refer to the </w:t>
      </w:r>
      <w:hyperlink r:id="rId12" w:history="1">
        <w:r w:rsidRPr="00224FE3">
          <w:rPr>
            <w:rStyle w:val="Hyperlink"/>
            <w:rFonts w:cs="Arial"/>
            <w:bCs/>
            <w:szCs w:val="24"/>
          </w:rPr>
          <w:t>Australian Injectable Drugs Handbook</w:t>
        </w:r>
      </w:hyperlink>
      <w:r w:rsidRPr="003838EF">
        <w:rPr>
          <w:rFonts w:cs="Arial"/>
          <w:bCs/>
          <w:szCs w:val="24"/>
        </w:rPr>
        <w:t xml:space="preserve"> </w:t>
      </w:r>
      <w:r>
        <w:rPr>
          <w:rFonts w:cs="Arial"/>
          <w:bCs/>
          <w:szCs w:val="24"/>
        </w:rPr>
        <w:t>(6</w:t>
      </w:r>
      <w:r w:rsidRPr="00224FE3">
        <w:rPr>
          <w:rFonts w:cs="Arial"/>
          <w:bCs/>
          <w:szCs w:val="24"/>
          <w:vertAlign w:val="superscript"/>
        </w:rPr>
        <w:t>th</w:t>
      </w:r>
      <w:r>
        <w:rPr>
          <w:rFonts w:cs="Arial"/>
          <w:bCs/>
          <w:szCs w:val="24"/>
        </w:rPr>
        <w:t xml:space="preserve"> edition).</w:t>
      </w:r>
    </w:p>
    <w:p w14:paraId="2C392958" w14:textId="0D5BF7AB" w:rsidR="000005EF" w:rsidRPr="00B960EC" w:rsidRDefault="000005EF" w:rsidP="000005EF">
      <w:pPr>
        <w:pStyle w:val="ListParagraph"/>
        <w:numPr>
          <w:ilvl w:val="0"/>
          <w:numId w:val="16"/>
        </w:numPr>
        <w:ind w:left="357" w:hanging="357"/>
        <w:jc w:val="both"/>
        <w:rPr>
          <w:rFonts w:cs="Arial"/>
        </w:rPr>
      </w:pPr>
      <w:r w:rsidRPr="13AE7925">
        <w:rPr>
          <w:rFonts w:cs="Arial"/>
        </w:rPr>
        <w:t xml:space="preserve">Aminoglycosides are inactivated by penicillins, cephalosporins and teicoplanin so these drugs should not be administered simultaneously. It is preferable to separate doses by </w:t>
      </w:r>
      <w:r>
        <w:rPr>
          <w:rFonts w:cs="Arial"/>
        </w:rPr>
        <w:t>one</w:t>
      </w:r>
      <w:r w:rsidRPr="13AE7925">
        <w:rPr>
          <w:rFonts w:cs="Arial"/>
        </w:rPr>
        <w:t xml:space="preserve"> hour. If it is not possible to separate doses by </w:t>
      </w:r>
      <w:r>
        <w:rPr>
          <w:rFonts w:cs="Arial"/>
        </w:rPr>
        <w:t>one</w:t>
      </w:r>
      <w:r w:rsidRPr="13AE7925">
        <w:rPr>
          <w:rFonts w:cs="Arial"/>
        </w:rPr>
        <w:t xml:space="preserve"> hour, administer the gentamicin first, flushing the line well with a compatible fluid before and after giving each medicine. </w:t>
      </w:r>
    </w:p>
    <w:p w14:paraId="27F3EF42" w14:textId="77777777" w:rsidR="000005EF" w:rsidRDefault="000005EF" w:rsidP="000005EF">
      <w:pPr>
        <w:pStyle w:val="ListParagraph"/>
        <w:numPr>
          <w:ilvl w:val="0"/>
          <w:numId w:val="15"/>
        </w:numPr>
        <w:ind w:left="357" w:hanging="357"/>
        <w:jc w:val="both"/>
        <w:rPr>
          <w:rFonts w:cs="Calibri"/>
          <w:szCs w:val="24"/>
        </w:rPr>
      </w:pPr>
      <w:r>
        <w:rPr>
          <w:rFonts w:cs="Calibri"/>
          <w:szCs w:val="24"/>
        </w:rPr>
        <w:t xml:space="preserve">Avoid concurrent administration with other nephrotoxic drugs. </w:t>
      </w:r>
    </w:p>
    <w:p w14:paraId="542E8C18" w14:textId="77777777" w:rsidR="000005EF" w:rsidRDefault="000005EF" w:rsidP="000005EF">
      <w:pPr>
        <w:pStyle w:val="ListParagraph"/>
        <w:numPr>
          <w:ilvl w:val="0"/>
          <w:numId w:val="15"/>
        </w:numPr>
        <w:ind w:left="357" w:hanging="357"/>
        <w:jc w:val="both"/>
        <w:rPr>
          <w:rFonts w:cs="Calibri"/>
          <w:szCs w:val="24"/>
        </w:rPr>
      </w:pPr>
      <w:r>
        <w:rPr>
          <w:rFonts w:cs="Calibri"/>
          <w:szCs w:val="24"/>
        </w:rPr>
        <w:t>Potent diuretics such as furosemide may contribute to ototoxicity and nephrotoxicity and may also cause alterations in serum and tissue concentrations.</w:t>
      </w:r>
    </w:p>
    <w:p w14:paraId="18C15BBF" w14:textId="77777777" w:rsidR="000005EF" w:rsidRDefault="000005EF" w:rsidP="000005EF">
      <w:pPr>
        <w:pStyle w:val="ListParagraph"/>
        <w:numPr>
          <w:ilvl w:val="0"/>
          <w:numId w:val="15"/>
        </w:numPr>
        <w:ind w:left="357" w:hanging="357"/>
        <w:jc w:val="both"/>
        <w:rPr>
          <w:rFonts w:cs="Calibri"/>
          <w:szCs w:val="24"/>
        </w:rPr>
      </w:pPr>
      <w:r>
        <w:rPr>
          <w:rFonts w:cs="Calibri"/>
          <w:szCs w:val="24"/>
        </w:rPr>
        <w:t xml:space="preserve">The neuromuscular blocking activity of some drugs, such as anaesthetic agents or opioid analgesics may be enhanced. </w:t>
      </w:r>
    </w:p>
    <w:p w14:paraId="4CE97EDC" w14:textId="77777777" w:rsidR="000005EF" w:rsidRDefault="000005EF" w:rsidP="000005EF">
      <w:pPr>
        <w:pStyle w:val="ListParagraph"/>
        <w:numPr>
          <w:ilvl w:val="0"/>
          <w:numId w:val="15"/>
        </w:numPr>
        <w:ind w:left="357" w:hanging="357"/>
        <w:jc w:val="both"/>
        <w:rPr>
          <w:rFonts w:cs="Calibri"/>
          <w:szCs w:val="24"/>
        </w:rPr>
      </w:pPr>
      <w:r>
        <w:rPr>
          <w:rFonts w:cs="Calibri"/>
          <w:szCs w:val="24"/>
        </w:rPr>
        <w:t>For more information on specific drug interactions contact Medicines Information extension 43333.</w:t>
      </w:r>
    </w:p>
    <w:p w14:paraId="34B49AE9" w14:textId="77777777" w:rsidR="000005EF" w:rsidRDefault="000005EF" w:rsidP="000005EF">
      <w:pPr>
        <w:pStyle w:val="ListParagraph"/>
        <w:ind w:left="360"/>
        <w:jc w:val="right"/>
      </w:pPr>
    </w:p>
    <w:p w14:paraId="0FA7A015" w14:textId="77777777" w:rsidR="000005EF" w:rsidRPr="003838EF" w:rsidRDefault="00330BA3" w:rsidP="000005EF">
      <w:pPr>
        <w:pStyle w:val="ListParagraph"/>
        <w:ind w:left="360"/>
        <w:jc w:val="right"/>
        <w:rPr>
          <w:rFonts w:cs="Arial"/>
          <w:b/>
          <w:szCs w:val="24"/>
        </w:rPr>
      </w:pPr>
      <w:hyperlink w:anchor="Contents" w:history="1">
        <w:r w:rsidR="000005EF" w:rsidRPr="00E06EEC">
          <w:rPr>
            <w:rStyle w:val="Hyperlink"/>
            <w:rFonts w:eastAsiaTheme="majorEastAsia" w:cs="Arial"/>
            <w:i/>
            <w:szCs w:val="24"/>
          </w:rPr>
          <w:t>Back to Table of Contents</w:t>
        </w:r>
      </w:hyperlink>
      <w:r w:rsidR="000005EF" w:rsidRPr="00E06EEC">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CD1C0E" w14:paraId="3882B2ED" w14:textId="77777777" w:rsidTr="00E52F47">
        <w:trPr>
          <w:cantSplit/>
          <w:trHeight w:val="285"/>
        </w:trPr>
        <w:tc>
          <w:tcPr>
            <w:tcW w:w="9158" w:type="dxa"/>
            <w:shd w:val="clear" w:color="auto" w:fill="D9D9D9" w:themeFill="background1" w:themeFillShade="D9"/>
          </w:tcPr>
          <w:p w14:paraId="2CB50B63" w14:textId="77777777" w:rsidR="000005EF" w:rsidRPr="0042293D" w:rsidRDefault="000005EF" w:rsidP="00E52F47">
            <w:pPr>
              <w:pStyle w:val="Heading1"/>
            </w:pPr>
            <w:bookmarkStart w:id="13" w:name="_Toc95905337"/>
            <w:r w:rsidRPr="003D2D06">
              <w:t xml:space="preserve">Section </w:t>
            </w:r>
            <w:r>
              <w:t>6 – Adverse Effects</w:t>
            </w:r>
            <w:bookmarkEnd w:id="13"/>
          </w:p>
        </w:tc>
      </w:tr>
    </w:tbl>
    <w:p w14:paraId="0916FF66" w14:textId="77777777" w:rsidR="000005EF" w:rsidRDefault="000005EF" w:rsidP="000005EF">
      <w:pPr>
        <w:pStyle w:val="ListParagraph"/>
        <w:spacing w:before="20"/>
        <w:rPr>
          <w:rFonts w:cs="Calibri"/>
          <w:szCs w:val="24"/>
        </w:rPr>
      </w:pPr>
    </w:p>
    <w:p w14:paraId="5250A29A" w14:textId="77777777" w:rsidR="000005EF" w:rsidRPr="0042293D" w:rsidRDefault="000005EF" w:rsidP="000005EF">
      <w:pPr>
        <w:pStyle w:val="ListBullet"/>
        <w:numPr>
          <w:ilvl w:val="0"/>
          <w:numId w:val="0"/>
        </w:numPr>
      </w:pPr>
      <w:r w:rsidRPr="00DE5216">
        <w:rPr>
          <w:b/>
          <w:bCs/>
        </w:rPr>
        <w:t xml:space="preserve">Nephrotoxicity </w:t>
      </w:r>
      <w:r>
        <w:t>(usually reversible)</w:t>
      </w:r>
    </w:p>
    <w:p w14:paraId="7A7AD0C6" w14:textId="77777777" w:rsidR="000005EF" w:rsidRPr="00AC6129" w:rsidRDefault="000005EF" w:rsidP="000005EF">
      <w:pPr>
        <w:pStyle w:val="ListParagraph"/>
        <w:numPr>
          <w:ilvl w:val="0"/>
          <w:numId w:val="15"/>
        </w:numPr>
        <w:ind w:left="357" w:hanging="357"/>
        <w:jc w:val="both"/>
        <w:rPr>
          <w:rFonts w:cs="Calibri"/>
          <w:szCs w:val="24"/>
        </w:rPr>
      </w:pPr>
      <w:r w:rsidRPr="00AC6129">
        <w:rPr>
          <w:rFonts w:cs="Calibri"/>
          <w:szCs w:val="24"/>
        </w:rPr>
        <w:t>May present as worsening of renal function; increasing serum creatinine and proteinuria or may present as acute tubular necrosis.</w:t>
      </w:r>
    </w:p>
    <w:p w14:paraId="54A82C2C" w14:textId="77777777" w:rsidR="000005EF" w:rsidRPr="00AC6129" w:rsidRDefault="000005EF" w:rsidP="000005EF">
      <w:pPr>
        <w:pStyle w:val="ListParagraph"/>
        <w:numPr>
          <w:ilvl w:val="0"/>
          <w:numId w:val="15"/>
        </w:numPr>
        <w:ind w:left="357" w:hanging="357"/>
        <w:jc w:val="both"/>
        <w:rPr>
          <w:rFonts w:cs="Calibri"/>
          <w:szCs w:val="24"/>
        </w:rPr>
      </w:pPr>
      <w:r w:rsidRPr="00AC6129">
        <w:rPr>
          <w:rFonts w:cs="Calibri"/>
          <w:szCs w:val="24"/>
        </w:rPr>
        <w:t>More common in patients with pre-existing renal impairment.</w:t>
      </w:r>
    </w:p>
    <w:p w14:paraId="52B371B8" w14:textId="77777777" w:rsidR="000005EF" w:rsidRPr="00AC6129" w:rsidRDefault="000005EF" w:rsidP="000005EF">
      <w:pPr>
        <w:pStyle w:val="ListParagraph"/>
        <w:numPr>
          <w:ilvl w:val="0"/>
          <w:numId w:val="15"/>
        </w:numPr>
        <w:ind w:left="357" w:hanging="357"/>
        <w:jc w:val="both"/>
        <w:rPr>
          <w:rFonts w:cs="Calibri"/>
          <w:szCs w:val="24"/>
        </w:rPr>
      </w:pPr>
      <w:r w:rsidRPr="00AC6129">
        <w:rPr>
          <w:rFonts w:cs="Calibri"/>
          <w:szCs w:val="24"/>
        </w:rPr>
        <w:t>In vitro, once daily dosing results in lower renal cortical concentrations compared to continuous infusions or traditional dosing and it is therefore hypothesised that once daily dosing may lessen nephrotoxicity.</w:t>
      </w:r>
    </w:p>
    <w:p w14:paraId="491E8299" w14:textId="77777777" w:rsidR="000005EF" w:rsidRPr="00AC6129" w:rsidRDefault="000005EF" w:rsidP="000005EF">
      <w:pPr>
        <w:pStyle w:val="ListParagraph"/>
        <w:numPr>
          <w:ilvl w:val="0"/>
          <w:numId w:val="15"/>
        </w:numPr>
        <w:ind w:left="357" w:hanging="357"/>
        <w:jc w:val="both"/>
        <w:rPr>
          <w:rFonts w:cs="Calibri"/>
          <w:szCs w:val="24"/>
        </w:rPr>
      </w:pPr>
      <w:r w:rsidRPr="00AC6129">
        <w:rPr>
          <w:rFonts w:cs="Calibri"/>
          <w:szCs w:val="24"/>
        </w:rPr>
        <w:t>If nephrotoxicity occurs at any time, consider switching to an alternative antimicrobial therapy.</w:t>
      </w:r>
    </w:p>
    <w:p w14:paraId="328510DC" w14:textId="77777777" w:rsidR="000005EF" w:rsidRPr="0042293D" w:rsidRDefault="000005EF" w:rsidP="000005EF">
      <w:pPr>
        <w:spacing w:before="20"/>
        <w:rPr>
          <w:rFonts w:cs="Calibri"/>
          <w:bCs/>
          <w:iCs/>
          <w:szCs w:val="24"/>
        </w:rPr>
      </w:pPr>
    </w:p>
    <w:p w14:paraId="35E48344" w14:textId="77777777" w:rsidR="000005EF" w:rsidRPr="00DE5216" w:rsidRDefault="000005EF" w:rsidP="000005EF">
      <w:pPr>
        <w:pStyle w:val="ListBullet"/>
        <w:numPr>
          <w:ilvl w:val="0"/>
          <w:numId w:val="0"/>
        </w:numPr>
        <w:rPr>
          <w:b/>
          <w:bCs/>
        </w:rPr>
      </w:pPr>
      <w:r w:rsidRPr="00DE5216">
        <w:rPr>
          <w:b/>
          <w:bCs/>
        </w:rPr>
        <w:t>Hearing and Vestibular toxicity</w:t>
      </w:r>
    </w:p>
    <w:p w14:paraId="1A8C9C26" w14:textId="77777777" w:rsidR="000005EF" w:rsidRPr="00AC6129" w:rsidRDefault="000005EF" w:rsidP="000005EF">
      <w:pPr>
        <w:pStyle w:val="ListParagraph"/>
        <w:numPr>
          <w:ilvl w:val="0"/>
          <w:numId w:val="15"/>
        </w:numPr>
        <w:ind w:left="357" w:hanging="357"/>
        <w:jc w:val="both"/>
        <w:rPr>
          <w:rFonts w:cs="Calibri"/>
          <w:szCs w:val="24"/>
        </w:rPr>
      </w:pPr>
      <w:r w:rsidRPr="00AC6129">
        <w:rPr>
          <w:rFonts w:cs="Calibri"/>
          <w:szCs w:val="24"/>
        </w:rPr>
        <w:t>Ototoxicity and vestibular toxicity is irreversible in approximately 50% of cases. If developing, gentamicin should usually be stopped, and alternatives considered.</w:t>
      </w:r>
    </w:p>
    <w:p w14:paraId="1F4F2C7B" w14:textId="77777777" w:rsidR="000005EF" w:rsidRPr="00AC6129" w:rsidRDefault="000005EF" w:rsidP="000005EF">
      <w:pPr>
        <w:pStyle w:val="ListParagraph"/>
        <w:numPr>
          <w:ilvl w:val="0"/>
          <w:numId w:val="15"/>
        </w:numPr>
        <w:ind w:left="357" w:hanging="357"/>
        <w:jc w:val="both"/>
        <w:rPr>
          <w:rFonts w:cs="Calibri"/>
          <w:szCs w:val="24"/>
        </w:rPr>
      </w:pPr>
      <w:r w:rsidRPr="00AC6129">
        <w:rPr>
          <w:rFonts w:cs="Calibri"/>
          <w:szCs w:val="24"/>
        </w:rPr>
        <w:t xml:space="preserve">Aminoglycosides affect both cochlear and vestibular function, with high frequency hearing usually affected before low frequency hearing. </w:t>
      </w:r>
    </w:p>
    <w:p w14:paraId="3B6A39E2" w14:textId="77777777" w:rsidR="000005EF" w:rsidRPr="00AC6129" w:rsidRDefault="000005EF" w:rsidP="000005EF">
      <w:pPr>
        <w:pStyle w:val="ListParagraph"/>
        <w:numPr>
          <w:ilvl w:val="0"/>
          <w:numId w:val="15"/>
        </w:numPr>
        <w:ind w:left="357" w:hanging="357"/>
        <w:jc w:val="both"/>
        <w:rPr>
          <w:rFonts w:cs="Calibri"/>
          <w:szCs w:val="24"/>
        </w:rPr>
      </w:pPr>
      <w:r w:rsidRPr="00AC6129">
        <w:rPr>
          <w:rFonts w:cs="Calibri"/>
          <w:szCs w:val="24"/>
        </w:rPr>
        <w:t>May present as nausea, vertigo or tinnitus.</w:t>
      </w:r>
    </w:p>
    <w:p w14:paraId="753B6CB6" w14:textId="77777777" w:rsidR="000005EF" w:rsidRPr="00AC6129" w:rsidRDefault="000005EF" w:rsidP="000005EF">
      <w:pPr>
        <w:pStyle w:val="ListParagraph"/>
        <w:numPr>
          <w:ilvl w:val="0"/>
          <w:numId w:val="15"/>
        </w:numPr>
        <w:ind w:left="357" w:hanging="357"/>
        <w:jc w:val="both"/>
        <w:rPr>
          <w:rFonts w:cs="Calibri"/>
          <w:szCs w:val="24"/>
        </w:rPr>
      </w:pPr>
      <w:r w:rsidRPr="00AC6129">
        <w:rPr>
          <w:rFonts w:cs="Calibri"/>
          <w:szCs w:val="24"/>
        </w:rPr>
        <w:t>Testing of hearing and vestibular function should be done for patients receiving gentamicin for longer than 5 days, and repeat periodically if therapy is continued for</w:t>
      </w:r>
      <w:r>
        <w:t xml:space="preserve"> more </w:t>
      </w:r>
      <w:r w:rsidRPr="00AC6129">
        <w:rPr>
          <w:rFonts w:cs="Calibri"/>
          <w:szCs w:val="24"/>
        </w:rPr>
        <w:t>than 14 days. Signs of vestibular dysfunction include nystagmus, ataxia and a positive Romberg’s sign.</w:t>
      </w:r>
    </w:p>
    <w:p w14:paraId="03C68B9D" w14:textId="77777777" w:rsidR="000005EF" w:rsidRDefault="000005EF" w:rsidP="000005EF"/>
    <w:p w14:paraId="72E6C57F" w14:textId="77777777" w:rsidR="000005EF" w:rsidRPr="00153DB9" w:rsidRDefault="000005EF" w:rsidP="000005EF">
      <w:pPr>
        <w:rPr>
          <w:b/>
          <w:bCs/>
        </w:rPr>
      </w:pPr>
      <w:r w:rsidRPr="00153DB9">
        <w:rPr>
          <w:b/>
          <w:bCs/>
        </w:rPr>
        <w:t>Reporting</w:t>
      </w:r>
    </w:p>
    <w:p w14:paraId="1A339392" w14:textId="77777777" w:rsidR="000005EF" w:rsidRDefault="000005EF" w:rsidP="000005EF">
      <w:r>
        <w:lastRenderedPageBreak/>
        <w:t xml:space="preserve">Adverse outcomes must be: </w:t>
      </w:r>
    </w:p>
    <w:p w14:paraId="47B11A63" w14:textId="77777777" w:rsidR="000005EF" w:rsidRPr="00AC6129" w:rsidRDefault="000005EF" w:rsidP="000005EF">
      <w:pPr>
        <w:pStyle w:val="ListBullet"/>
        <w:tabs>
          <w:tab w:val="clear" w:pos="1080"/>
          <w:tab w:val="num" w:pos="360"/>
        </w:tabs>
        <w:ind w:left="360" w:hanging="360"/>
        <w:rPr>
          <w:rFonts w:cs="Calibri"/>
          <w:szCs w:val="24"/>
        </w:rPr>
      </w:pPr>
      <w:r w:rsidRPr="00AC6129">
        <w:rPr>
          <w:rFonts w:cs="Calibri"/>
          <w:szCs w:val="24"/>
        </w:rPr>
        <w:t>Recorded in the patient’s clinical record</w:t>
      </w:r>
    </w:p>
    <w:p w14:paraId="704E1357" w14:textId="77777777" w:rsidR="000005EF" w:rsidRPr="00AC6129" w:rsidRDefault="000005EF" w:rsidP="000005EF">
      <w:pPr>
        <w:pStyle w:val="ListBullet"/>
        <w:tabs>
          <w:tab w:val="clear" w:pos="1080"/>
          <w:tab w:val="num" w:pos="360"/>
        </w:tabs>
        <w:ind w:left="360" w:hanging="360"/>
        <w:rPr>
          <w:rFonts w:cs="Calibri"/>
          <w:szCs w:val="24"/>
        </w:rPr>
      </w:pPr>
      <w:r w:rsidRPr="00AC6129">
        <w:rPr>
          <w:rFonts w:cs="Calibri"/>
          <w:szCs w:val="24"/>
        </w:rPr>
        <w:t>Reported by the medical team using the electronic Adverse Drug Reaction (ADR) reporting form (located on CHS Health Hub → Clinical Apps → Adverse Drug Reactions)</w:t>
      </w:r>
    </w:p>
    <w:p w14:paraId="7E48E677" w14:textId="77777777" w:rsidR="000005EF" w:rsidRPr="00AC6129" w:rsidRDefault="000005EF" w:rsidP="000005EF">
      <w:pPr>
        <w:pStyle w:val="ListBullet"/>
        <w:tabs>
          <w:tab w:val="clear" w:pos="1080"/>
          <w:tab w:val="num" w:pos="360"/>
        </w:tabs>
        <w:ind w:left="360" w:hanging="360"/>
        <w:rPr>
          <w:rFonts w:cs="Calibri"/>
          <w:szCs w:val="24"/>
        </w:rPr>
      </w:pPr>
      <w:r w:rsidRPr="00AC6129">
        <w:rPr>
          <w:rFonts w:cs="Calibri"/>
          <w:szCs w:val="24"/>
        </w:rPr>
        <w:t>Clearly documented in the patient’s discharge summary and discussed with the patient or their family.</w:t>
      </w:r>
    </w:p>
    <w:p w14:paraId="4DBE58CB" w14:textId="77777777" w:rsidR="000005EF" w:rsidRDefault="000005EF" w:rsidP="000005EF">
      <w:pPr>
        <w:pStyle w:val="ListParagraph"/>
        <w:ind w:left="360"/>
        <w:jc w:val="right"/>
      </w:pPr>
    </w:p>
    <w:p w14:paraId="5B02D1DD" w14:textId="364A921E" w:rsidR="000005EF" w:rsidRPr="00DE5216" w:rsidRDefault="00330BA3" w:rsidP="00DE5216">
      <w:pPr>
        <w:pStyle w:val="ListParagraph"/>
        <w:ind w:left="360"/>
        <w:jc w:val="right"/>
        <w:rPr>
          <w:rFonts w:cs="Arial"/>
          <w:b/>
          <w:szCs w:val="24"/>
        </w:rPr>
      </w:pPr>
      <w:hyperlink w:anchor="Contents" w:history="1">
        <w:r w:rsidR="000005EF" w:rsidRPr="00E06EEC">
          <w:rPr>
            <w:rStyle w:val="Hyperlink"/>
            <w:rFonts w:eastAsiaTheme="majorEastAsia" w:cs="Arial"/>
            <w:i/>
            <w:szCs w:val="24"/>
          </w:rPr>
          <w:t>Back to Table of Contents</w:t>
        </w:r>
      </w:hyperlink>
      <w:r w:rsidR="000005EF" w:rsidRPr="00E06EEC">
        <w:rPr>
          <w:rFonts w:cs="Arial"/>
          <w:i/>
          <w:szCs w:val="24"/>
        </w:rPr>
        <w:t xml:space="preserve"> </w:t>
      </w:r>
      <w:r w:rsidR="000005EF" w:rsidRPr="00DE5216">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2B35B8" w14:paraId="49FD416C" w14:textId="77777777" w:rsidTr="00E52F47">
        <w:trPr>
          <w:cantSplit/>
          <w:trHeight w:val="285"/>
        </w:trPr>
        <w:tc>
          <w:tcPr>
            <w:tcW w:w="9158" w:type="dxa"/>
            <w:shd w:val="clear" w:color="auto" w:fill="D9D9D9" w:themeFill="background1" w:themeFillShade="D9"/>
          </w:tcPr>
          <w:p w14:paraId="1639FF21" w14:textId="77777777" w:rsidR="000005EF" w:rsidRPr="002B35B8" w:rsidRDefault="000005EF" w:rsidP="00E52F47">
            <w:pPr>
              <w:pStyle w:val="Heading1"/>
            </w:pPr>
            <w:bookmarkStart w:id="14" w:name="_Toc95905338"/>
            <w:r w:rsidRPr="002B35B8">
              <w:t>Evaluation</w:t>
            </w:r>
            <w:bookmarkEnd w:id="14"/>
          </w:p>
        </w:tc>
      </w:tr>
    </w:tbl>
    <w:p w14:paraId="13C39B10" w14:textId="77777777" w:rsidR="000005EF" w:rsidRPr="002B35B8" w:rsidRDefault="000005EF" w:rsidP="000005EF"/>
    <w:p w14:paraId="52206B96" w14:textId="77777777" w:rsidR="000005EF" w:rsidRPr="002B35B8" w:rsidRDefault="000005EF" w:rsidP="000005EF">
      <w:pPr>
        <w:rPr>
          <w:b/>
        </w:rPr>
      </w:pPr>
      <w:r w:rsidRPr="002B35B8">
        <w:rPr>
          <w:b/>
        </w:rPr>
        <w:t>Outcome</w:t>
      </w:r>
      <w:r>
        <w:rPr>
          <w:b/>
        </w:rPr>
        <w:t>s</w:t>
      </w:r>
    </w:p>
    <w:p w14:paraId="40CC2ADD" w14:textId="77777777" w:rsidR="000005EF" w:rsidRPr="002B35B8" w:rsidRDefault="000005EF" w:rsidP="000005EF">
      <w:pPr>
        <w:pStyle w:val="ListParagraph"/>
        <w:numPr>
          <w:ilvl w:val="0"/>
          <w:numId w:val="20"/>
        </w:numPr>
      </w:pPr>
      <w:r>
        <w:rPr>
          <w:rFonts w:cs="Calibri"/>
          <w:szCs w:val="24"/>
        </w:rPr>
        <w:t>Safe prescribing, administration and therapeutic drug monitoring of gentamicin.</w:t>
      </w:r>
    </w:p>
    <w:p w14:paraId="73954429" w14:textId="77777777" w:rsidR="000005EF" w:rsidRPr="002B35B8" w:rsidRDefault="000005EF" w:rsidP="000005EF">
      <w:pPr>
        <w:pStyle w:val="ListParagraph"/>
        <w:numPr>
          <w:ilvl w:val="0"/>
          <w:numId w:val="20"/>
        </w:numPr>
      </w:pPr>
      <w:r>
        <w:t>Prevention of gentamicin toxicity (renal, hearing and vestibular impairment).</w:t>
      </w:r>
    </w:p>
    <w:p w14:paraId="4064DDF8" w14:textId="77777777" w:rsidR="000005EF" w:rsidRPr="009A1703" w:rsidRDefault="000005EF" w:rsidP="000005EF">
      <w:pPr>
        <w:rPr>
          <w:b/>
          <w:color w:val="FF0000"/>
        </w:rPr>
      </w:pPr>
    </w:p>
    <w:p w14:paraId="78A43D58" w14:textId="77777777" w:rsidR="000005EF" w:rsidRPr="002B35B8" w:rsidRDefault="000005EF" w:rsidP="000005EF">
      <w:pPr>
        <w:rPr>
          <w:b/>
        </w:rPr>
      </w:pPr>
      <w:r w:rsidRPr="002B35B8">
        <w:rPr>
          <w:b/>
        </w:rPr>
        <w:t>Measures</w:t>
      </w:r>
    </w:p>
    <w:p w14:paraId="4FD25965" w14:textId="3EE95ED1" w:rsidR="000005EF" w:rsidRDefault="000005EF" w:rsidP="000005EF">
      <w:pPr>
        <w:pStyle w:val="ListParagraph"/>
        <w:numPr>
          <w:ilvl w:val="0"/>
          <w:numId w:val="20"/>
        </w:numPr>
      </w:pPr>
      <w:r>
        <w:t>Adverse Drug Reactions (ADRs) to the use of gentamicin must be reported via the electronic ADR reporting form for investigation by the Adverse Drug Reaction Reporting Committee.</w:t>
      </w:r>
    </w:p>
    <w:p w14:paraId="53BC5E6B" w14:textId="77777777" w:rsidR="000005EF" w:rsidRDefault="000005EF" w:rsidP="000005EF">
      <w:pPr>
        <w:pStyle w:val="ListParagraph"/>
        <w:numPr>
          <w:ilvl w:val="0"/>
          <w:numId w:val="20"/>
        </w:numPr>
      </w:pPr>
      <w:r>
        <w:t>Any errors with gentamicin prescribing or administration should be reported in RiskMan and reviewed at Paediatric RiskMan meetings monthly, and if required, escalated to Departmental Quality and Safety Meetings, to identify trends, guideline deviation and establish recommendations for quality improvement.</w:t>
      </w:r>
    </w:p>
    <w:p w14:paraId="7C7F09D5" w14:textId="77777777" w:rsidR="000005EF" w:rsidRPr="002B35B8" w:rsidRDefault="000005EF" w:rsidP="000005EF">
      <w:pPr>
        <w:pStyle w:val="ListParagraph"/>
        <w:numPr>
          <w:ilvl w:val="0"/>
          <w:numId w:val="20"/>
        </w:numPr>
        <w:rPr>
          <w:rFonts w:asciiTheme="minorHAnsi" w:eastAsiaTheme="minorEastAsia" w:hAnsiTheme="minorHAnsi" w:cstheme="minorBidi"/>
          <w:szCs w:val="24"/>
        </w:rPr>
      </w:pPr>
      <w:r>
        <w:t>Serious adverse events may be referred to the Clinical Review Committee via the Quality and Safety or Paediatric Morbidity and Mortality meetings for investigation.</w:t>
      </w:r>
    </w:p>
    <w:p w14:paraId="30A91DDA" w14:textId="77777777" w:rsidR="000005EF" w:rsidRPr="00753FB9" w:rsidRDefault="000005EF" w:rsidP="000005EF">
      <w:pPr>
        <w:rPr>
          <w:color w:val="FF0000"/>
        </w:rPr>
      </w:pPr>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CD1C0E" w14:paraId="6AF42A11" w14:textId="77777777" w:rsidTr="00E52F47">
        <w:trPr>
          <w:cantSplit/>
          <w:trHeight w:val="285"/>
        </w:trPr>
        <w:tc>
          <w:tcPr>
            <w:tcW w:w="9158" w:type="dxa"/>
            <w:shd w:val="clear" w:color="auto" w:fill="D9D9D9" w:themeFill="background1" w:themeFillShade="D9"/>
          </w:tcPr>
          <w:p w14:paraId="62EAF635" w14:textId="77777777" w:rsidR="000005EF" w:rsidRPr="00CD1C0E" w:rsidRDefault="000005EF" w:rsidP="00E52F47">
            <w:pPr>
              <w:pStyle w:val="Heading1"/>
            </w:pPr>
            <w:bookmarkStart w:id="15" w:name="_Toc389473287"/>
            <w:bookmarkStart w:id="16" w:name="_Toc393203347"/>
            <w:bookmarkStart w:id="17" w:name="_Toc95905339"/>
            <w:r>
              <w:t>Related Policies, Procedures</w:t>
            </w:r>
            <w:bookmarkEnd w:id="15"/>
            <w:r>
              <w:t>, Guidelines and Legislation</w:t>
            </w:r>
            <w:bookmarkEnd w:id="16"/>
            <w:bookmarkEnd w:id="17"/>
          </w:p>
        </w:tc>
      </w:tr>
    </w:tbl>
    <w:p w14:paraId="33FEADB6" w14:textId="77777777" w:rsidR="000005EF" w:rsidRDefault="000005EF" w:rsidP="000005EF">
      <w:pPr>
        <w:pStyle w:val="ListParagraph"/>
        <w:jc w:val="both"/>
        <w:rPr>
          <w:rFonts w:cs="Calibri"/>
          <w:szCs w:val="24"/>
        </w:rPr>
      </w:pPr>
    </w:p>
    <w:p w14:paraId="4C5AE95F" w14:textId="77777777" w:rsidR="000005EF" w:rsidRPr="0083184C" w:rsidRDefault="000005EF" w:rsidP="000005EF">
      <w:pPr>
        <w:jc w:val="both"/>
        <w:rPr>
          <w:rFonts w:cs="Calibri"/>
          <w:b/>
          <w:szCs w:val="24"/>
        </w:rPr>
      </w:pPr>
      <w:r w:rsidRPr="0083184C">
        <w:rPr>
          <w:rFonts w:cs="Calibri"/>
          <w:b/>
          <w:szCs w:val="24"/>
        </w:rPr>
        <w:t>Policies</w:t>
      </w:r>
    </w:p>
    <w:p w14:paraId="61A3DCFA" w14:textId="64C9C1D5" w:rsidR="000005EF" w:rsidRDefault="000005EF" w:rsidP="000005EF">
      <w:pPr>
        <w:pStyle w:val="ListParagraph"/>
        <w:numPr>
          <w:ilvl w:val="0"/>
          <w:numId w:val="3"/>
        </w:numPr>
        <w:ind w:left="360"/>
        <w:jc w:val="both"/>
        <w:rPr>
          <w:rFonts w:cs="Calibri"/>
          <w:szCs w:val="24"/>
        </w:rPr>
      </w:pPr>
      <w:r w:rsidRPr="00592D82">
        <w:rPr>
          <w:rFonts w:cs="Calibri"/>
          <w:szCs w:val="24"/>
        </w:rPr>
        <w:t xml:space="preserve">Nursing and Midwifery </w:t>
      </w:r>
      <w:r>
        <w:rPr>
          <w:rFonts w:cs="Calibri"/>
          <w:szCs w:val="24"/>
        </w:rPr>
        <w:t>Board of Australia (NMBA) Requirements for Practice</w:t>
      </w:r>
    </w:p>
    <w:p w14:paraId="66615635" w14:textId="77777777" w:rsidR="000005EF" w:rsidRPr="009640EA" w:rsidRDefault="000005EF" w:rsidP="000005EF">
      <w:pPr>
        <w:pStyle w:val="ListParagraph"/>
        <w:numPr>
          <w:ilvl w:val="0"/>
          <w:numId w:val="3"/>
        </w:numPr>
        <w:ind w:left="360"/>
        <w:jc w:val="both"/>
        <w:rPr>
          <w:rFonts w:cs="Calibri"/>
          <w:szCs w:val="24"/>
        </w:rPr>
      </w:pPr>
      <w:r>
        <w:rPr>
          <w:rFonts w:cs="Calibri"/>
          <w:szCs w:val="24"/>
        </w:rPr>
        <w:t>Medication Handling Policy</w:t>
      </w:r>
    </w:p>
    <w:p w14:paraId="3F3524F7" w14:textId="77777777" w:rsidR="000005EF" w:rsidRPr="00592D82" w:rsidRDefault="000005EF" w:rsidP="000005EF">
      <w:pPr>
        <w:pStyle w:val="ListParagraph"/>
        <w:jc w:val="both"/>
        <w:rPr>
          <w:rFonts w:cs="Calibri"/>
          <w:szCs w:val="24"/>
        </w:rPr>
      </w:pPr>
    </w:p>
    <w:p w14:paraId="74D7FF47" w14:textId="77777777" w:rsidR="000005EF" w:rsidRDefault="000005EF" w:rsidP="000005EF">
      <w:pPr>
        <w:rPr>
          <w:b/>
        </w:rPr>
      </w:pPr>
      <w:r>
        <w:rPr>
          <w:b/>
        </w:rPr>
        <w:t>Procedures</w:t>
      </w:r>
    </w:p>
    <w:p w14:paraId="1D69480C" w14:textId="4F434AE2" w:rsidR="000005EF" w:rsidRDefault="000005EF" w:rsidP="000005EF">
      <w:pPr>
        <w:pStyle w:val="ListParagraph"/>
        <w:numPr>
          <w:ilvl w:val="0"/>
          <w:numId w:val="3"/>
        </w:numPr>
        <w:ind w:left="360"/>
        <w:jc w:val="both"/>
        <w:rPr>
          <w:rFonts w:cs="Calibri"/>
          <w:szCs w:val="24"/>
        </w:rPr>
      </w:pPr>
      <w:r>
        <w:rPr>
          <w:rFonts w:cs="Calibri"/>
          <w:szCs w:val="24"/>
        </w:rPr>
        <w:t>Intravenous Dosing and Monitoring of Aminoglycosides in Adults</w:t>
      </w:r>
    </w:p>
    <w:p w14:paraId="6AFDB492" w14:textId="0CEF6004" w:rsidR="000005EF" w:rsidRDefault="000005EF" w:rsidP="000005EF">
      <w:pPr>
        <w:pStyle w:val="ListParagraph"/>
        <w:numPr>
          <w:ilvl w:val="0"/>
          <w:numId w:val="3"/>
        </w:numPr>
        <w:ind w:left="360"/>
        <w:jc w:val="both"/>
        <w:rPr>
          <w:rFonts w:cs="Calibri"/>
          <w:szCs w:val="24"/>
        </w:rPr>
      </w:pPr>
      <w:r>
        <w:rPr>
          <w:rFonts w:cs="Calibri"/>
          <w:szCs w:val="24"/>
        </w:rPr>
        <w:t xml:space="preserve">Patient Identification and Procedure Matching </w:t>
      </w:r>
    </w:p>
    <w:p w14:paraId="2205386E" w14:textId="5643297B" w:rsidR="000005EF" w:rsidRDefault="000005EF" w:rsidP="000005EF">
      <w:pPr>
        <w:pStyle w:val="ListParagraph"/>
        <w:numPr>
          <w:ilvl w:val="0"/>
          <w:numId w:val="3"/>
        </w:numPr>
        <w:ind w:left="360"/>
        <w:jc w:val="both"/>
        <w:rPr>
          <w:rFonts w:cs="Calibri"/>
          <w:szCs w:val="24"/>
        </w:rPr>
      </w:pPr>
      <w:r>
        <w:rPr>
          <w:rFonts w:cs="Calibri"/>
          <w:szCs w:val="24"/>
        </w:rPr>
        <w:t xml:space="preserve">Antimicrobial Stewardship </w:t>
      </w:r>
    </w:p>
    <w:p w14:paraId="3D52A34F" w14:textId="639CAEEB" w:rsidR="000005EF" w:rsidRDefault="000005EF" w:rsidP="000005EF">
      <w:pPr>
        <w:pStyle w:val="ListParagraph"/>
        <w:numPr>
          <w:ilvl w:val="0"/>
          <w:numId w:val="3"/>
        </w:numPr>
        <w:ind w:left="360"/>
        <w:jc w:val="both"/>
        <w:rPr>
          <w:rFonts w:cs="Calibri"/>
        </w:rPr>
      </w:pPr>
      <w:r>
        <w:rPr>
          <w:rFonts w:cs="Calibri"/>
        </w:rPr>
        <w:t xml:space="preserve">Infection Prevention Control and </w:t>
      </w:r>
      <w:r w:rsidRPr="3A9D816C">
        <w:rPr>
          <w:rFonts w:cs="Calibri"/>
        </w:rPr>
        <w:t xml:space="preserve">Healthcare Associated Infections </w:t>
      </w:r>
    </w:p>
    <w:p w14:paraId="264FF541" w14:textId="77777777" w:rsidR="000005EF" w:rsidRDefault="000005EF" w:rsidP="000005EF">
      <w:pPr>
        <w:jc w:val="both"/>
        <w:rPr>
          <w:szCs w:val="24"/>
        </w:rPr>
      </w:pPr>
    </w:p>
    <w:p w14:paraId="64807323" w14:textId="77777777" w:rsidR="000005EF" w:rsidRPr="0083184C" w:rsidRDefault="000005EF" w:rsidP="000005EF">
      <w:pPr>
        <w:jc w:val="both"/>
        <w:rPr>
          <w:rFonts w:cs="Calibri"/>
          <w:b/>
          <w:szCs w:val="24"/>
        </w:rPr>
      </w:pPr>
      <w:r w:rsidRPr="0083184C">
        <w:rPr>
          <w:rFonts w:cs="Calibri"/>
          <w:b/>
          <w:szCs w:val="24"/>
        </w:rPr>
        <w:t>Guidelines</w:t>
      </w:r>
    </w:p>
    <w:p w14:paraId="2CEBE667" w14:textId="77777777" w:rsidR="000005EF" w:rsidRDefault="000005EF" w:rsidP="000005EF">
      <w:pPr>
        <w:pStyle w:val="ListParagraph"/>
        <w:numPr>
          <w:ilvl w:val="0"/>
          <w:numId w:val="18"/>
        </w:numPr>
        <w:rPr>
          <w:szCs w:val="24"/>
        </w:rPr>
      </w:pPr>
      <w:r w:rsidRPr="13AE7925">
        <w:rPr>
          <w:szCs w:val="24"/>
        </w:rPr>
        <w:t>Neonatal Intensive Care Drug Manual</w:t>
      </w:r>
    </w:p>
    <w:p w14:paraId="70F2D0E3" w14:textId="77777777" w:rsidR="000005EF" w:rsidRDefault="000005EF" w:rsidP="000005EF">
      <w:pPr>
        <w:rPr>
          <w:b/>
        </w:rPr>
      </w:pPr>
    </w:p>
    <w:p w14:paraId="2E447BA4" w14:textId="77777777" w:rsidR="000005EF" w:rsidRPr="00BB1F69" w:rsidRDefault="000005EF" w:rsidP="000005EF">
      <w:pPr>
        <w:rPr>
          <w:b/>
        </w:rPr>
      </w:pPr>
      <w:r w:rsidRPr="00BB1F69">
        <w:rPr>
          <w:b/>
        </w:rPr>
        <w:t>Legislation</w:t>
      </w:r>
    </w:p>
    <w:p w14:paraId="14482111" w14:textId="77777777" w:rsidR="000005EF" w:rsidRPr="00B9621E" w:rsidRDefault="000005EF" w:rsidP="000005EF">
      <w:pPr>
        <w:tabs>
          <w:tab w:val="num" w:pos="1080"/>
        </w:tabs>
        <w:ind w:left="426" w:hanging="426"/>
        <w:rPr>
          <w:iCs/>
        </w:rPr>
      </w:pPr>
      <w:r w:rsidRPr="000005EF">
        <w:rPr>
          <w:i/>
        </w:rPr>
        <w:t>Health Records (Privacy and Access) Act</w:t>
      </w:r>
      <w:r w:rsidRPr="00B9621E">
        <w:rPr>
          <w:iCs/>
        </w:rPr>
        <w:t xml:space="preserve"> 1997</w:t>
      </w:r>
    </w:p>
    <w:p w14:paraId="2E293E87" w14:textId="3DEAC16C" w:rsidR="000005EF" w:rsidRPr="00B9621E" w:rsidRDefault="000005EF" w:rsidP="000005EF">
      <w:pPr>
        <w:tabs>
          <w:tab w:val="num" w:pos="1080"/>
        </w:tabs>
        <w:ind w:left="426" w:hanging="426"/>
        <w:rPr>
          <w:iCs/>
        </w:rPr>
      </w:pPr>
      <w:r w:rsidRPr="000005EF">
        <w:rPr>
          <w:i/>
        </w:rPr>
        <w:lastRenderedPageBreak/>
        <w:t>Human Rights Act</w:t>
      </w:r>
      <w:r w:rsidRPr="00B9621E">
        <w:rPr>
          <w:iCs/>
        </w:rPr>
        <w:t xml:space="preserve"> 20</w:t>
      </w:r>
      <w:r w:rsidR="00416F85">
        <w:rPr>
          <w:iCs/>
        </w:rPr>
        <w:t>04</w:t>
      </w:r>
    </w:p>
    <w:p w14:paraId="7F50811A" w14:textId="77777777" w:rsidR="000005EF" w:rsidRPr="00B9621E" w:rsidRDefault="000005EF" w:rsidP="000005EF">
      <w:pPr>
        <w:tabs>
          <w:tab w:val="num" w:pos="1080"/>
        </w:tabs>
        <w:ind w:left="426" w:hanging="426"/>
        <w:rPr>
          <w:iCs/>
        </w:rPr>
      </w:pPr>
      <w:r w:rsidRPr="000005EF">
        <w:rPr>
          <w:i/>
        </w:rPr>
        <w:t>Work Health and Safety Act</w:t>
      </w:r>
      <w:r w:rsidRPr="00B9621E">
        <w:rPr>
          <w:iCs/>
        </w:rPr>
        <w:t xml:space="preserve"> 2011</w:t>
      </w:r>
    </w:p>
    <w:p w14:paraId="4E75CE43" w14:textId="77777777" w:rsidR="000005EF" w:rsidRPr="00BB1F69" w:rsidRDefault="000005EF" w:rsidP="000005EF">
      <w:pPr>
        <w:rPr>
          <w:rFonts w:cs="Arial"/>
          <w:i/>
          <w:szCs w:val="24"/>
        </w:rPr>
      </w:pPr>
    </w:p>
    <w:p w14:paraId="1876B815" w14:textId="77777777" w:rsidR="000005EF" w:rsidRPr="00BB1F69" w:rsidRDefault="000005EF" w:rsidP="000005EF">
      <w:pPr>
        <w:rPr>
          <w:rFonts w:cs="Arial"/>
          <w:b/>
          <w:bCs/>
          <w:iCs/>
          <w:szCs w:val="24"/>
        </w:rPr>
      </w:pPr>
      <w:r w:rsidRPr="00BB1F69">
        <w:rPr>
          <w:rFonts w:cs="Arial"/>
          <w:b/>
          <w:bCs/>
          <w:iCs/>
          <w:szCs w:val="24"/>
        </w:rPr>
        <w:t>Other</w:t>
      </w:r>
    </w:p>
    <w:p w14:paraId="1D80CC02" w14:textId="77777777" w:rsidR="000005EF" w:rsidRPr="00BB1F69" w:rsidRDefault="000005EF" w:rsidP="000005EF">
      <w:pPr>
        <w:tabs>
          <w:tab w:val="num" w:pos="1080"/>
        </w:tabs>
        <w:ind w:left="426" w:hanging="426"/>
      </w:pPr>
      <w:r w:rsidRPr="00BB1F69">
        <w:t>Australian Charter of Health Care Rights</w:t>
      </w:r>
    </w:p>
    <w:p w14:paraId="518408D2" w14:textId="77777777" w:rsidR="000005EF" w:rsidRDefault="000005EF" w:rsidP="00DE5216"/>
    <w:p w14:paraId="515341EB" w14:textId="77777777" w:rsidR="000005EF" w:rsidRPr="00DA3910" w:rsidRDefault="00330BA3" w:rsidP="000005EF">
      <w:pPr>
        <w:pStyle w:val="ListParagraph"/>
        <w:jc w:val="right"/>
        <w:rPr>
          <w:szCs w:val="24"/>
        </w:rPr>
      </w:pPr>
      <w:hyperlink w:anchor="Contents" w:history="1">
        <w:r w:rsidR="000005EF"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1B2BAC" w14:paraId="72519269" w14:textId="77777777" w:rsidTr="00E52F47">
        <w:trPr>
          <w:cantSplit/>
          <w:trHeight w:val="285"/>
        </w:trPr>
        <w:tc>
          <w:tcPr>
            <w:tcW w:w="9158" w:type="dxa"/>
            <w:shd w:val="clear" w:color="auto" w:fill="D9D9D9" w:themeFill="background1" w:themeFillShade="D9"/>
          </w:tcPr>
          <w:p w14:paraId="0214C837" w14:textId="77777777" w:rsidR="000005EF" w:rsidRPr="002E3BFE" w:rsidRDefault="000005EF" w:rsidP="00E52F47">
            <w:pPr>
              <w:pStyle w:val="Heading1"/>
              <w:rPr>
                <w:szCs w:val="24"/>
              </w:rPr>
            </w:pPr>
            <w:bookmarkStart w:id="18" w:name="_Toc95905340"/>
            <w:r>
              <w:rPr>
                <w:szCs w:val="24"/>
              </w:rPr>
              <w:t>References</w:t>
            </w:r>
            <w:bookmarkEnd w:id="18"/>
          </w:p>
        </w:tc>
      </w:tr>
    </w:tbl>
    <w:p w14:paraId="3E6ABB56" w14:textId="77777777" w:rsidR="000005EF" w:rsidRDefault="000005EF" w:rsidP="000005EF">
      <w:pPr>
        <w:jc w:val="both"/>
        <w:rPr>
          <w:rFonts w:cs="Arial"/>
          <w:szCs w:val="24"/>
        </w:rPr>
      </w:pPr>
    </w:p>
    <w:p w14:paraId="1FA1A018" w14:textId="77777777" w:rsidR="000005EF" w:rsidRPr="0018300B" w:rsidRDefault="000005EF" w:rsidP="000005EF">
      <w:pPr>
        <w:pStyle w:val="ListParagraph"/>
        <w:numPr>
          <w:ilvl w:val="0"/>
          <w:numId w:val="19"/>
        </w:numPr>
        <w:ind w:left="357" w:hanging="357"/>
        <w:rPr>
          <w:rFonts w:cs="Arial"/>
          <w:szCs w:val="24"/>
        </w:rPr>
      </w:pPr>
      <w:r w:rsidRPr="0018300B">
        <w:rPr>
          <w:rFonts w:cs="Arial"/>
          <w:szCs w:val="24"/>
        </w:rPr>
        <w:t xml:space="preserve">Clinical Excellence Commission (2017) Safe Gentamicin Prescribing in Paediatrics available at </w:t>
      </w:r>
      <w:hyperlink r:id="rId13" w:history="1">
        <w:r>
          <w:rPr>
            <w:rStyle w:val="Hyperlink"/>
          </w:rPr>
          <w:t>https://www.cec.health.nsw.gov.au/keep-patients-safe/medication-safety/high-risk-medicines/Gentamicin-paediatric</w:t>
        </w:r>
      </w:hyperlink>
      <w:r>
        <w:t>.</w:t>
      </w:r>
    </w:p>
    <w:p w14:paraId="168787FF" w14:textId="77777777" w:rsidR="000005EF" w:rsidRDefault="000005EF" w:rsidP="000005EF">
      <w:pPr>
        <w:pStyle w:val="ListParagraph"/>
        <w:numPr>
          <w:ilvl w:val="0"/>
          <w:numId w:val="19"/>
        </w:numPr>
        <w:ind w:left="357" w:hanging="357"/>
        <w:rPr>
          <w:rFonts w:cs="Arial"/>
          <w:szCs w:val="24"/>
        </w:rPr>
      </w:pPr>
      <w:r>
        <w:rPr>
          <w:rFonts w:cs="Arial"/>
          <w:szCs w:val="24"/>
        </w:rPr>
        <w:t>Aminoglycoside Therapy- SCH Practice Guideline 2021</w:t>
      </w:r>
    </w:p>
    <w:p w14:paraId="6878FBDB" w14:textId="77777777" w:rsidR="000005EF" w:rsidRPr="0018300B" w:rsidRDefault="000005EF" w:rsidP="000005EF">
      <w:pPr>
        <w:pStyle w:val="ListParagraph"/>
        <w:numPr>
          <w:ilvl w:val="0"/>
          <w:numId w:val="19"/>
        </w:numPr>
        <w:ind w:left="357" w:hanging="357"/>
        <w:rPr>
          <w:rFonts w:cs="Arial"/>
          <w:szCs w:val="24"/>
        </w:rPr>
      </w:pPr>
      <w:r>
        <w:rPr>
          <w:rFonts w:cs="Arial"/>
          <w:szCs w:val="24"/>
        </w:rPr>
        <w:t xml:space="preserve">Aminoglycoside Dosing and Monitoring-  CHW Practice Guideline 2021 </w:t>
      </w:r>
      <w:hyperlink r:id="rId14" w:history="1">
        <w:r w:rsidRPr="006345BD">
          <w:rPr>
            <w:rStyle w:val="Hyperlink"/>
            <w:rFonts w:cs="Arial"/>
            <w:szCs w:val="24"/>
          </w:rPr>
          <w:t>http://www.schn.health.nsw.gov.au/_policies/pdf/2011-8018.pdf</w:t>
        </w:r>
      </w:hyperlink>
      <w:r w:rsidRPr="0018300B">
        <w:rPr>
          <w:rFonts w:cs="Arial"/>
          <w:szCs w:val="24"/>
        </w:rPr>
        <w:t xml:space="preserve"> </w:t>
      </w:r>
    </w:p>
    <w:p w14:paraId="0462DF92" w14:textId="77777777" w:rsidR="000005EF" w:rsidRPr="00074950" w:rsidRDefault="000005EF" w:rsidP="000005EF">
      <w:pPr>
        <w:pStyle w:val="ListParagraph"/>
        <w:numPr>
          <w:ilvl w:val="0"/>
          <w:numId w:val="19"/>
        </w:numPr>
        <w:ind w:left="357" w:hanging="357"/>
        <w:rPr>
          <w:rFonts w:cs="Arial"/>
          <w:szCs w:val="24"/>
        </w:rPr>
      </w:pPr>
      <w:r w:rsidRPr="00074950">
        <w:rPr>
          <w:rFonts w:cs="Arial"/>
          <w:szCs w:val="24"/>
        </w:rPr>
        <w:t>Australian Medicines Handbook; Children’s Dosing Companion (</w:t>
      </w:r>
      <w:r>
        <w:rPr>
          <w:rFonts w:cs="Arial"/>
          <w:szCs w:val="24"/>
        </w:rPr>
        <w:t xml:space="preserve">July </w:t>
      </w:r>
      <w:r w:rsidRPr="00074950">
        <w:rPr>
          <w:rFonts w:cs="Arial"/>
          <w:szCs w:val="24"/>
        </w:rPr>
        <w:t>2</w:t>
      </w:r>
      <w:r>
        <w:rPr>
          <w:rFonts w:cs="Arial"/>
          <w:szCs w:val="24"/>
        </w:rPr>
        <w:t>021</w:t>
      </w:r>
      <w:r w:rsidRPr="00074950">
        <w:rPr>
          <w:rFonts w:cs="Arial"/>
          <w:szCs w:val="24"/>
        </w:rPr>
        <w:t xml:space="preserve">) Gentamicin available at </w:t>
      </w:r>
      <w:hyperlink r:id="rId15" w:history="1">
        <w:r w:rsidRPr="00074950">
          <w:rPr>
            <w:rStyle w:val="Hyperlink"/>
            <w:rFonts w:cs="Arial"/>
            <w:szCs w:val="24"/>
          </w:rPr>
          <w:t>https://childrens.amh.net.au/monographs/gentamicin</w:t>
        </w:r>
      </w:hyperlink>
    </w:p>
    <w:p w14:paraId="6027A3CD" w14:textId="77777777" w:rsidR="000005EF" w:rsidRPr="00411BDC" w:rsidRDefault="000005EF" w:rsidP="000005EF">
      <w:pPr>
        <w:pStyle w:val="ListParagraph"/>
        <w:numPr>
          <w:ilvl w:val="0"/>
          <w:numId w:val="19"/>
        </w:numPr>
        <w:ind w:left="357" w:hanging="357"/>
        <w:rPr>
          <w:rFonts w:cs="Arial"/>
          <w:szCs w:val="24"/>
        </w:rPr>
      </w:pPr>
      <w:r w:rsidRPr="00074950">
        <w:rPr>
          <w:snapToGrid w:val="0"/>
        </w:rPr>
        <w:t xml:space="preserve">Kids Cancer Centre, Sydney Children’s Hospital Randwick (2017) Supportive Management Information for Medical and Nursing Staff. </w:t>
      </w:r>
    </w:p>
    <w:p w14:paraId="6BC3DF6A" w14:textId="77777777" w:rsidR="000005EF" w:rsidRPr="00074950" w:rsidRDefault="000005EF" w:rsidP="000005EF">
      <w:pPr>
        <w:pStyle w:val="ListParagraph"/>
        <w:numPr>
          <w:ilvl w:val="0"/>
          <w:numId w:val="19"/>
        </w:numPr>
        <w:ind w:left="357" w:hanging="357"/>
        <w:rPr>
          <w:rFonts w:cs="Arial"/>
          <w:szCs w:val="24"/>
        </w:rPr>
      </w:pPr>
      <w:r>
        <w:rPr>
          <w:snapToGrid w:val="0"/>
        </w:rPr>
        <w:t>Australian Injectable Drugs Handbook 8</w:t>
      </w:r>
      <w:r w:rsidRPr="00411BDC">
        <w:rPr>
          <w:snapToGrid w:val="0"/>
          <w:vertAlign w:val="superscript"/>
        </w:rPr>
        <w:t>th</w:t>
      </w:r>
      <w:r>
        <w:rPr>
          <w:snapToGrid w:val="0"/>
        </w:rPr>
        <w:t xml:space="preserve"> Edition (Oct 2021) </w:t>
      </w:r>
      <w:hyperlink r:id="rId16" w:history="1">
        <w:r>
          <w:rPr>
            <w:rStyle w:val="Hyperlink"/>
          </w:rPr>
          <w:t>AIDH - GENTAMICIN (hcn.com.au)</w:t>
        </w:r>
      </w:hyperlink>
    </w:p>
    <w:p w14:paraId="545ECD95" w14:textId="77777777" w:rsidR="000005EF" w:rsidRDefault="000005EF" w:rsidP="000005EF">
      <w:pPr>
        <w:jc w:val="right"/>
      </w:pPr>
    </w:p>
    <w:p w14:paraId="5401B282" w14:textId="77777777" w:rsidR="000005EF" w:rsidRDefault="00330BA3" w:rsidP="000005EF">
      <w:pPr>
        <w:jc w:val="right"/>
      </w:pPr>
      <w:hyperlink w:anchor="Contents" w:history="1">
        <w:r w:rsidR="000005EF" w:rsidRPr="00C91F3F">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0F1F60" w14:paraId="44C970C1" w14:textId="77777777" w:rsidTr="00E52F47">
        <w:trPr>
          <w:cantSplit/>
          <w:trHeight w:val="285"/>
        </w:trPr>
        <w:tc>
          <w:tcPr>
            <w:tcW w:w="9158" w:type="dxa"/>
            <w:shd w:val="clear" w:color="auto" w:fill="D9D9D9" w:themeFill="background1" w:themeFillShade="D9"/>
          </w:tcPr>
          <w:p w14:paraId="6029F5D9" w14:textId="77777777" w:rsidR="000005EF" w:rsidRPr="000F1F60" w:rsidRDefault="000005EF" w:rsidP="00E52F47">
            <w:pPr>
              <w:pStyle w:val="Heading1"/>
            </w:pPr>
            <w:bookmarkStart w:id="19" w:name="_Toc396290588"/>
            <w:bookmarkStart w:id="20" w:name="_Toc95905341"/>
            <w:r>
              <w:t>Definition of Terms</w:t>
            </w:r>
            <w:bookmarkEnd w:id="20"/>
            <w:r>
              <w:t xml:space="preserve"> </w:t>
            </w:r>
            <w:bookmarkEnd w:id="19"/>
          </w:p>
        </w:tc>
      </w:tr>
    </w:tbl>
    <w:p w14:paraId="7EF77DAB" w14:textId="77777777" w:rsidR="000005EF" w:rsidRDefault="000005EF" w:rsidP="000005EF">
      <w:pPr>
        <w:rPr>
          <w:rFonts w:cs="Arial"/>
          <w:szCs w:val="24"/>
        </w:rPr>
      </w:pPr>
    </w:p>
    <w:p w14:paraId="779CF5FD" w14:textId="77777777" w:rsidR="000005EF" w:rsidRDefault="000005EF" w:rsidP="000005EF">
      <w:pPr>
        <w:rPr>
          <w:rFonts w:cs="Arial"/>
          <w:szCs w:val="24"/>
        </w:rPr>
      </w:pPr>
      <w:r w:rsidRPr="006027FA">
        <w:rPr>
          <w:rFonts w:cs="Arial"/>
          <w:b/>
          <w:bCs/>
          <w:szCs w:val="24"/>
        </w:rPr>
        <w:t>Romberg’s sign</w:t>
      </w:r>
      <w:r>
        <w:rPr>
          <w:rFonts w:cs="Arial"/>
          <w:szCs w:val="24"/>
        </w:rPr>
        <w:t xml:space="preserve">: </w:t>
      </w:r>
      <w:r w:rsidRPr="005C5492">
        <w:rPr>
          <w:rFonts w:cs="Arial"/>
          <w:szCs w:val="24"/>
        </w:rPr>
        <w:t>Romberg's sign</w:t>
      </w:r>
      <w:r>
        <w:rPr>
          <w:rFonts w:cs="Arial"/>
          <w:szCs w:val="24"/>
        </w:rPr>
        <w:t xml:space="preserve"> </w:t>
      </w:r>
      <w:r w:rsidRPr="005C5492">
        <w:rPr>
          <w:rFonts w:cs="Arial"/>
          <w:szCs w:val="24"/>
        </w:rPr>
        <w:t>is a test used in an exam of neurological function for balance</w:t>
      </w:r>
      <w:r>
        <w:rPr>
          <w:rFonts w:cs="Arial"/>
          <w:szCs w:val="24"/>
        </w:rPr>
        <w:t>.</w:t>
      </w:r>
    </w:p>
    <w:p w14:paraId="5B95E844" w14:textId="77777777" w:rsidR="000005EF" w:rsidRDefault="000005EF" w:rsidP="000005EF">
      <w:pPr>
        <w:rPr>
          <w:rFonts w:cs="Arial"/>
          <w:szCs w:val="24"/>
        </w:rPr>
      </w:pPr>
    </w:p>
    <w:p w14:paraId="20FC4E33" w14:textId="77777777" w:rsidR="000005EF" w:rsidRDefault="000005EF" w:rsidP="000005EF">
      <w:pPr>
        <w:rPr>
          <w:rFonts w:cs="Arial"/>
          <w:szCs w:val="24"/>
        </w:rPr>
      </w:pPr>
      <w:r w:rsidRPr="006027FA">
        <w:rPr>
          <w:rFonts w:cs="Arial"/>
          <w:b/>
          <w:bCs/>
          <w:szCs w:val="24"/>
        </w:rPr>
        <w:t>Nephrotoxicity</w:t>
      </w:r>
      <w:r>
        <w:rPr>
          <w:rFonts w:cs="Arial"/>
          <w:szCs w:val="24"/>
        </w:rPr>
        <w:t>: The quality of being toxic to kidney cells.</w:t>
      </w:r>
    </w:p>
    <w:p w14:paraId="0A50B7AC" w14:textId="77777777" w:rsidR="000005EF" w:rsidRDefault="000005EF" w:rsidP="000005EF">
      <w:pPr>
        <w:rPr>
          <w:rFonts w:cs="Arial"/>
          <w:szCs w:val="24"/>
        </w:rPr>
      </w:pPr>
    </w:p>
    <w:p w14:paraId="55A2FD5A" w14:textId="77777777" w:rsidR="000005EF" w:rsidRDefault="000005EF" w:rsidP="000005EF">
      <w:pPr>
        <w:rPr>
          <w:rFonts w:cs="Arial"/>
          <w:szCs w:val="24"/>
        </w:rPr>
      </w:pPr>
      <w:r w:rsidRPr="006027FA">
        <w:rPr>
          <w:rFonts w:cs="Arial"/>
          <w:b/>
          <w:bCs/>
          <w:szCs w:val="24"/>
        </w:rPr>
        <w:t>Ototoxicity:</w:t>
      </w:r>
      <w:r>
        <w:rPr>
          <w:rFonts w:cs="Arial"/>
          <w:szCs w:val="24"/>
        </w:rPr>
        <w:t xml:space="preserve"> The property of being injurious to the functions of the ear.</w:t>
      </w:r>
    </w:p>
    <w:p w14:paraId="68DE448D" w14:textId="77777777" w:rsidR="000005EF" w:rsidRDefault="000005EF" w:rsidP="000005EF">
      <w:pPr>
        <w:rPr>
          <w:rFonts w:cs="Arial"/>
          <w:szCs w:val="24"/>
        </w:rPr>
      </w:pPr>
    </w:p>
    <w:p w14:paraId="31F8D3C7" w14:textId="77777777" w:rsidR="000005EF" w:rsidRDefault="00330BA3" w:rsidP="000005EF">
      <w:pPr>
        <w:jc w:val="right"/>
      </w:pPr>
      <w:hyperlink w:anchor="Contents" w:history="1">
        <w:r w:rsidR="000005EF" w:rsidRPr="00C91F3F">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005EF" w:rsidRPr="00CD1C0E" w14:paraId="2B0B7EDD" w14:textId="77777777" w:rsidTr="00E52F47">
        <w:trPr>
          <w:cantSplit/>
          <w:trHeight w:val="285"/>
        </w:trPr>
        <w:tc>
          <w:tcPr>
            <w:tcW w:w="9158" w:type="dxa"/>
            <w:shd w:val="clear" w:color="auto" w:fill="D9D9D9" w:themeFill="background1" w:themeFillShade="D9"/>
          </w:tcPr>
          <w:p w14:paraId="31E14B1E" w14:textId="77777777" w:rsidR="000005EF" w:rsidRPr="00CD1C0E" w:rsidRDefault="000005EF" w:rsidP="00E52F47">
            <w:pPr>
              <w:pStyle w:val="Heading1"/>
            </w:pPr>
            <w:bookmarkStart w:id="21" w:name="_Toc389473290"/>
            <w:bookmarkStart w:id="22" w:name="_Toc396290589"/>
            <w:bookmarkStart w:id="23" w:name="_Toc95905342"/>
            <w:r>
              <w:t>Search Terms</w:t>
            </w:r>
            <w:bookmarkEnd w:id="21"/>
            <w:bookmarkEnd w:id="22"/>
            <w:bookmarkEnd w:id="23"/>
            <w:r>
              <w:t xml:space="preserve"> </w:t>
            </w:r>
          </w:p>
        </w:tc>
      </w:tr>
    </w:tbl>
    <w:p w14:paraId="730EAA44" w14:textId="77777777" w:rsidR="000005EF" w:rsidRDefault="000005EF" w:rsidP="000005EF">
      <w:pPr>
        <w:jc w:val="both"/>
        <w:rPr>
          <w:rFonts w:cs="Arial"/>
          <w:szCs w:val="24"/>
        </w:rPr>
      </w:pPr>
    </w:p>
    <w:p w14:paraId="14A6E592" w14:textId="77777777" w:rsidR="000005EF" w:rsidRPr="00592D82" w:rsidRDefault="000005EF" w:rsidP="000005EF">
      <w:pPr>
        <w:jc w:val="both"/>
        <w:rPr>
          <w:rFonts w:cs="Arial"/>
          <w:szCs w:val="24"/>
        </w:rPr>
      </w:pPr>
      <w:r w:rsidRPr="008A7B16">
        <w:rPr>
          <w:rFonts w:cs="Arial"/>
          <w:szCs w:val="24"/>
        </w:rPr>
        <w:t>Gentamicin</w:t>
      </w:r>
      <w:r>
        <w:rPr>
          <w:rFonts w:cs="Arial"/>
          <w:szCs w:val="24"/>
        </w:rPr>
        <w:t xml:space="preserve">, </w:t>
      </w:r>
      <w:r w:rsidRPr="008A7B16">
        <w:rPr>
          <w:rFonts w:cs="Arial"/>
          <w:szCs w:val="24"/>
        </w:rPr>
        <w:t>Paediatric</w:t>
      </w:r>
      <w:r w:rsidRPr="00592D82">
        <w:rPr>
          <w:rFonts w:cs="Arial"/>
          <w:szCs w:val="24"/>
        </w:rPr>
        <w:t xml:space="preserve"> gentamicin</w:t>
      </w:r>
      <w:r>
        <w:rPr>
          <w:rFonts w:cs="Arial"/>
          <w:szCs w:val="24"/>
        </w:rPr>
        <w:t xml:space="preserve">, </w:t>
      </w:r>
      <w:r w:rsidRPr="008A7B16">
        <w:rPr>
          <w:rFonts w:cs="Arial"/>
          <w:szCs w:val="24"/>
        </w:rPr>
        <w:t>Gentamicin</w:t>
      </w:r>
      <w:r w:rsidRPr="00592D82">
        <w:rPr>
          <w:rFonts w:cs="Arial"/>
          <w:szCs w:val="24"/>
        </w:rPr>
        <w:t xml:space="preserve"> dosing</w:t>
      </w:r>
      <w:r>
        <w:rPr>
          <w:rFonts w:cs="Arial"/>
          <w:szCs w:val="24"/>
        </w:rPr>
        <w:t xml:space="preserve">, </w:t>
      </w:r>
      <w:r w:rsidRPr="008A7B16">
        <w:rPr>
          <w:rFonts w:cs="Arial"/>
          <w:szCs w:val="24"/>
        </w:rPr>
        <w:t>Gentamicin</w:t>
      </w:r>
      <w:r w:rsidRPr="00592D82">
        <w:rPr>
          <w:rFonts w:cs="Arial"/>
          <w:szCs w:val="24"/>
        </w:rPr>
        <w:t xml:space="preserve"> monitoring</w:t>
      </w:r>
      <w:r>
        <w:rPr>
          <w:rFonts w:cs="Arial"/>
          <w:szCs w:val="24"/>
        </w:rPr>
        <w:t>, Gentamicin level</w:t>
      </w:r>
    </w:p>
    <w:p w14:paraId="61C1D70C" w14:textId="77777777" w:rsidR="000005EF" w:rsidRPr="00901883" w:rsidRDefault="000005EF" w:rsidP="000005EF">
      <w:pPr>
        <w:jc w:val="both"/>
        <w:rPr>
          <w:rFonts w:asciiTheme="minorHAnsi" w:hAnsiTheme="minorHAnsi" w:cs="Arial"/>
          <w:b/>
          <w:i/>
          <w:sz w:val="22"/>
          <w:szCs w:val="22"/>
        </w:rPr>
      </w:pPr>
    </w:p>
    <w:p w14:paraId="6463CC5C" w14:textId="77777777" w:rsidR="000005EF" w:rsidRDefault="000005EF" w:rsidP="000005EF">
      <w:pPr>
        <w:jc w:val="both"/>
        <w:rPr>
          <w:rFonts w:cs="Arial"/>
          <w:b/>
          <w:szCs w:val="24"/>
        </w:rPr>
      </w:pPr>
    </w:p>
    <w:p w14:paraId="63A3DFEE" w14:textId="77777777" w:rsidR="000005EF" w:rsidRDefault="000005EF" w:rsidP="000005EF">
      <w:pPr>
        <w:rPr>
          <w:rFonts w:cs="Arial"/>
          <w:i/>
          <w:iCs/>
          <w:sz w:val="20"/>
        </w:rPr>
      </w:pPr>
      <w:r w:rsidRPr="006019FE">
        <w:rPr>
          <w:rFonts w:cs="Arial"/>
          <w:b/>
          <w:sz w:val="20"/>
        </w:rPr>
        <w:t>Disclaimer</w:t>
      </w:r>
      <w:r w:rsidRPr="006019FE">
        <w:rPr>
          <w:rFonts w:cs="Arial"/>
          <w:sz w:val="20"/>
        </w:rPr>
        <w:t xml:space="preserve">: </w:t>
      </w:r>
      <w:r w:rsidRPr="006019FE">
        <w:rPr>
          <w:rFonts w:cs="Arial"/>
          <w:i/>
          <w:iCs/>
          <w:sz w:val="20"/>
        </w:rPr>
        <w:t>This doc</w:t>
      </w:r>
      <w:r>
        <w:rPr>
          <w:rFonts w:cs="Arial"/>
          <w:i/>
          <w:iCs/>
          <w:sz w:val="20"/>
        </w:rPr>
        <w:t xml:space="preserve">ument has been developed by </w:t>
      </w:r>
      <w:r w:rsidRPr="006019FE">
        <w:rPr>
          <w:rFonts w:cs="Arial"/>
          <w:i/>
          <w:iCs/>
          <w:sz w:val="20"/>
        </w:rPr>
        <w:t>Health</w:t>
      </w:r>
      <w:r>
        <w:rPr>
          <w:rFonts w:cs="Arial"/>
          <w:i/>
          <w:iCs/>
          <w:sz w:val="20"/>
        </w:rPr>
        <w:t xml:space="preserve"> Directorate</w:t>
      </w:r>
      <w:r w:rsidRPr="006019FE">
        <w:rPr>
          <w:rFonts w:cs="Arial"/>
          <w:i/>
          <w:iCs/>
          <w:sz w:val="20"/>
        </w:rPr>
        <w:t xml:space="preserve">, </w:t>
      </w:r>
      <w:r>
        <w:rPr>
          <w:rFonts w:cs="Arial"/>
          <w:i/>
          <w:iCs/>
          <w:sz w:val="20"/>
        </w:rPr>
        <w:t>Canberra Hospital and Health Services</w:t>
      </w:r>
      <w:r w:rsidRPr="006019FE">
        <w:rPr>
          <w:rFonts w:cs="Arial"/>
          <w:i/>
          <w:iCs/>
          <w:sz w:val="20"/>
        </w:rPr>
        <w:t xml:space="preserve"> specifically for its own use.  Use of this document and any reliance on the information contained therein by any third party is</w:t>
      </w:r>
      <w:r>
        <w:rPr>
          <w:rFonts w:cs="Arial"/>
          <w:i/>
          <w:iCs/>
          <w:sz w:val="20"/>
        </w:rPr>
        <w:t xml:space="preserve"> at his or her own risk and </w:t>
      </w:r>
      <w:r w:rsidRPr="006019FE">
        <w:rPr>
          <w:rFonts w:cs="Arial"/>
          <w:i/>
          <w:iCs/>
          <w:sz w:val="20"/>
        </w:rPr>
        <w:t xml:space="preserve">Health </w:t>
      </w:r>
      <w:r>
        <w:rPr>
          <w:rFonts w:cs="Arial"/>
          <w:i/>
          <w:iCs/>
          <w:sz w:val="20"/>
        </w:rPr>
        <w:t>Directorate</w:t>
      </w:r>
      <w:r w:rsidRPr="006019FE">
        <w:rPr>
          <w:rFonts w:cs="Arial"/>
          <w:i/>
          <w:iCs/>
          <w:sz w:val="20"/>
        </w:rPr>
        <w:t xml:space="preserve"> assumes no responsibility whatsoever.</w:t>
      </w:r>
    </w:p>
    <w:p w14:paraId="15A0CD26" w14:textId="77777777" w:rsidR="000005EF" w:rsidRPr="00E41A47" w:rsidRDefault="000005EF" w:rsidP="00DE5216"/>
    <w:tbl>
      <w:tblPr>
        <w:tblpPr w:leftFromText="180" w:rightFromText="180" w:vertAnchor="text" w:horzAnchor="margin" w:tblpY="181"/>
        <w:tblW w:w="9158" w:type="dxa"/>
        <w:tblLook w:val="0000" w:firstRow="0" w:lastRow="0" w:firstColumn="0" w:lastColumn="0" w:noHBand="0" w:noVBand="0"/>
      </w:tblPr>
      <w:tblGrid>
        <w:gridCol w:w="9158"/>
      </w:tblGrid>
      <w:tr w:rsidR="009A534C" w:rsidRPr="001B2BAC" w14:paraId="08682A4B" w14:textId="77777777" w:rsidTr="008E74FD">
        <w:trPr>
          <w:cantSplit/>
          <w:trHeight w:val="285"/>
        </w:trPr>
        <w:tc>
          <w:tcPr>
            <w:tcW w:w="9158" w:type="dxa"/>
            <w:shd w:val="clear" w:color="auto" w:fill="D9D9D9" w:themeFill="background1" w:themeFillShade="D9"/>
          </w:tcPr>
          <w:p w14:paraId="08682A4A" w14:textId="77777777" w:rsidR="009A534C" w:rsidRPr="002E3BFE" w:rsidRDefault="009A534C" w:rsidP="00B10F87">
            <w:pPr>
              <w:pStyle w:val="Heading1"/>
              <w:rPr>
                <w:szCs w:val="24"/>
              </w:rPr>
            </w:pPr>
            <w:bookmarkStart w:id="24" w:name="_Toc43904316"/>
            <w:bookmarkStart w:id="25" w:name="_Toc95905343"/>
            <w:r>
              <w:rPr>
                <w:szCs w:val="24"/>
              </w:rPr>
              <w:t>Attachments</w:t>
            </w:r>
            <w:bookmarkEnd w:id="24"/>
            <w:bookmarkEnd w:id="25"/>
          </w:p>
        </w:tc>
      </w:tr>
    </w:tbl>
    <w:p w14:paraId="08682A4C" w14:textId="77777777" w:rsidR="009A534C" w:rsidRDefault="009A534C" w:rsidP="009A534C">
      <w:pPr>
        <w:jc w:val="both"/>
        <w:rPr>
          <w:rFonts w:cs="Arial"/>
          <w:b/>
          <w:szCs w:val="24"/>
        </w:rPr>
      </w:pPr>
    </w:p>
    <w:p w14:paraId="08682A4D" w14:textId="77777777" w:rsidR="009A534C" w:rsidRDefault="00C13D33" w:rsidP="009A534C">
      <w:pPr>
        <w:rPr>
          <w:rFonts w:cs="Arial"/>
          <w:iCs/>
          <w:sz w:val="20"/>
        </w:rPr>
      </w:pPr>
      <w:r w:rsidRPr="009902FB">
        <w:rPr>
          <w:rFonts w:cs="Arial"/>
          <w:i/>
          <w:szCs w:val="24"/>
        </w:rPr>
        <w:t>These could include any supporting information that would be useful to staff such as information sheets or flow charts</w:t>
      </w:r>
    </w:p>
    <w:p w14:paraId="08682A4E" w14:textId="77777777" w:rsidR="009A534C" w:rsidRDefault="009A534C" w:rsidP="009A534C">
      <w:pPr>
        <w:rPr>
          <w:rFonts w:cs="Arial"/>
          <w:iCs/>
          <w:sz w:val="20"/>
        </w:rPr>
      </w:pPr>
    </w:p>
    <w:p w14:paraId="08682A4F" w14:textId="77777777" w:rsidR="009A534C" w:rsidRDefault="009A534C" w:rsidP="009A534C">
      <w:pPr>
        <w:rPr>
          <w:rFonts w:cs="Arial"/>
          <w:iCs/>
          <w:sz w:val="20"/>
        </w:rPr>
      </w:pPr>
    </w:p>
    <w:p w14:paraId="08682A50" w14:textId="2AE7F3B4" w:rsidR="00153FB3" w:rsidRPr="003E167B" w:rsidRDefault="00153FB3" w:rsidP="00153FB3">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sidR="00470E63">
        <w:rPr>
          <w:rFonts w:cs="Arial"/>
          <w:i/>
          <w:iCs/>
          <w:sz w:val="20"/>
        </w:rPr>
        <w:t>Canberra Health Services</w:t>
      </w:r>
      <w:r w:rsidRPr="003E167B">
        <w:rPr>
          <w:rFonts w:cs="Arial"/>
          <w:i/>
          <w:iCs/>
          <w:sz w:val="20"/>
        </w:rPr>
        <w:t xml:space="preserve"> assumes no responsibility whatsoever.</w:t>
      </w:r>
    </w:p>
    <w:p w14:paraId="08682A51" w14:textId="77777777" w:rsidR="00153FB3" w:rsidRPr="003E167B" w:rsidRDefault="00153FB3" w:rsidP="00153FB3">
      <w:pPr>
        <w:rPr>
          <w:rFonts w:cs="Arial"/>
          <w:i/>
          <w:iCs/>
          <w:sz w:val="20"/>
        </w:rPr>
      </w:pPr>
    </w:p>
    <w:p w14:paraId="08682A52" w14:textId="77777777" w:rsidR="00153FB3" w:rsidRPr="003E167B" w:rsidRDefault="00153FB3" w:rsidP="00153FB3">
      <w:pPr>
        <w:rPr>
          <w:rFonts w:cs="Arial"/>
          <w:i/>
          <w:iCs/>
          <w:sz w:val="20"/>
        </w:rPr>
      </w:pPr>
      <w:r w:rsidRPr="003E167B">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153FB3" w:rsidRPr="003E167B" w14:paraId="08682A57" w14:textId="77777777" w:rsidTr="005B3A1A">
        <w:tc>
          <w:tcPr>
            <w:tcW w:w="2265" w:type="dxa"/>
          </w:tcPr>
          <w:p w14:paraId="08682A53" w14:textId="77777777" w:rsidR="00153FB3" w:rsidRPr="003E167B" w:rsidRDefault="00153FB3" w:rsidP="005B3A1A">
            <w:pPr>
              <w:rPr>
                <w:i/>
                <w:sz w:val="20"/>
              </w:rPr>
            </w:pPr>
            <w:r w:rsidRPr="003E167B">
              <w:rPr>
                <w:i/>
                <w:sz w:val="20"/>
              </w:rPr>
              <w:t>Date Amended</w:t>
            </w:r>
          </w:p>
        </w:tc>
        <w:tc>
          <w:tcPr>
            <w:tcW w:w="2265" w:type="dxa"/>
          </w:tcPr>
          <w:p w14:paraId="08682A54" w14:textId="77777777" w:rsidR="00153FB3" w:rsidRPr="003E167B" w:rsidRDefault="00153FB3" w:rsidP="005B3A1A">
            <w:pPr>
              <w:rPr>
                <w:i/>
                <w:sz w:val="20"/>
              </w:rPr>
            </w:pPr>
            <w:r w:rsidRPr="003E167B">
              <w:rPr>
                <w:i/>
                <w:sz w:val="20"/>
              </w:rPr>
              <w:t>Section Amended</w:t>
            </w:r>
          </w:p>
        </w:tc>
        <w:tc>
          <w:tcPr>
            <w:tcW w:w="2265" w:type="dxa"/>
          </w:tcPr>
          <w:p w14:paraId="08682A55" w14:textId="77777777" w:rsidR="00153FB3" w:rsidRPr="003E167B" w:rsidRDefault="00153FB3" w:rsidP="005B3A1A">
            <w:pPr>
              <w:rPr>
                <w:i/>
                <w:sz w:val="20"/>
              </w:rPr>
            </w:pPr>
            <w:r w:rsidRPr="003E167B">
              <w:rPr>
                <w:i/>
                <w:sz w:val="20"/>
              </w:rPr>
              <w:t>Divisional Approval</w:t>
            </w:r>
          </w:p>
        </w:tc>
        <w:tc>
          <w:tcPr>
            <w:tcW w:w="2265" w:type="dxa"/>
          </w:tcPr>
          <w:p w14:paraId="08682A56" w14:textId="77777777" w:rsidR="00153FB3" w:rsidRPr="003E167B" w:rsidRDefault="00153FB3" w:rsidP="005B3A1A">
            <w:pPr>
              <w:rPr>
                <w:i/>
                <w:sz w:val="20"/>
              </w:rPr>
            </w:pPr>
            <w:r w:rsidRPr="003E167B">
              <w:rPr>
                <w:i/>
                <w:sz w:val="20"/>
              </w:rPr>
              <w:t xml:space="preserve">Final Approval </w:t>
            </w:r>
          </w:p>
        </w:tc>
      </w:tr>
      <w:tr w:rsidR="00153FB3" w:rsidRPr="003E167B" w14:paraId="08682A5C" w14:textId="77777777" w:rsidTr="005B3A1A">
        <w:tc>
          <w:tcPr>
            <w:tcW w:w="2265" w:type="dxa"/>
          </w:tcPr>
          <w:p w14:paraId="08682A58" w14:textId="7ACBB4FE" w:rsidR="00153FB3" w:rsidRPr="003E167B" w:rsidRDefault="009F4320" w:rsidP="005B3A1A">
            <w:pPr>
              <w:rPr>
                <w:i/>
                <w:sz w:val="20"/>
              </w:rPr>
            </w:pPr>
            <w:r>
              <w:rPr>
                <w:i/>
                <w:sz w:val="20"/>
              </w:rPr>
              <w:t>16/02/2022</w:t>
            </w:r>
          </w:p>
        </w:tc>
        <w:tc>
          <w:tcPr>
            <w:tcW w:w="2265" w:type="dxa"/>
          </w:tcPr>
          <w:p w14:paraId="08682A59" w14:textId="5FC23CD5" w:rsidR="00153FB3" w:rsidRPr="003E167B" w:rsidRDefault="009F4320" w:rsidP="005B3A1A">
            <w:pPr>
              <w:rPr>
                <w:i/>
                <w:sz w:val="20"/>
              </w:rPr>
            </w:pPr>
            <w:r>
              <w:rPr>
                <w:i/>
                <w:sz w:val="20"/>
              </w:rPr>
              <w:t>Complete Review</w:t>
            </w:r>
          </w:p>
        </w:tc>
        <w:tc>
          <w:tcPr>
            <w:tcW w:w="2265" w:type="dxa"/>
          </w:tcPr>
          <w:p w14:paraId="08682A5A" w14:textId="6E7A3A31" w:rsidR="00153FB3" w:rsidRPr="003E167B" w:rsidRDefault="009F4320" w:rsidP="005B3A1A">
            <w:pPr>
              <w:rPr>
                <w:i/>
                <w:sz w:val="20"/>
              </w:rPr>
            </w:pPr>
            <w:r>
              <w:rPr>
                <w:i/>
                <w:sz w:val="20"/>
              </w:rPr>
              <w:t>Susan Freiberg, ED-WY&amp;C</w:t>
            </w:r>
          </w:p>
        </w:tc>
        <w:tc>
          <w:tcPr>
            <w:tcW w:w="2265" w:type="dxa"/>
          </w:tcPr>
          <w:p w14:paraId="08682A5B" w14:textId="70997717" w:rsidR="00153FB3" w:rsidRPr="003E167B" w:rsidRDefault="009F4320" w:rsidP="005B3A1A">
            <w:pPr>
              <w:rPr>
                <w:i/>
                <w:sz w:val="20"/>
              </w:rPr>
            </w:pPr>
            <w:r>
              <w:rPr>
                <w:i/>
                <w:sz w:val="20"/>
              </w:rPr>
              <w:t>CHS Policy Committee</w:t>
            </w:r>
          </w:p>
        </w:tc>
      </w:tr>
      <w:tr w:rsidR="00153FB3" w:rsidRPr="003E167B" w14:paraId="08682A61" w14:textId="77777777" w:rsidTr="005B3A1A">
        <w:tc>
          <w:tcPr>
            <w:tcW w:w="2265" w:type="dxa"/>
          </w:tcPr>
          <w:p w14:paraId="08682A5D" w14:textId="77777777" w:rsidR="00153FB3" w:rsidRPr="003E167B" w:rsidRDefault="00153FB3" w:rsidP="005B3A1A">
            <w:pPr>
              <w:rPr>
                <w:i/>
                <w:sz w:val="20"/>
              </w:rPr>
            </w:pPr>
          </w:p>
        </w:tc>
        <w:tc>
          <w:tcPr>
            <w:tcW w:w="2265" w:type="dxa"/>
          </w:tcPr>
          <w:p w14:paraId="08682A5E" w14:textId="77777777" w:rsidR="00153FB3" w:rsidRPr="003E167B" w:rsidRDefault="00153FB3" w:rsidP="005B3A1A">
            <w:pPr>
              <w:rPr>
                <w:i/>
                <w:sz w:val="20"/>
              </w:rPr>
            </w:pPr>
          </w:p>
        </w:tc>
        <w:tc>
          <w:tcPr>
            <w:tcW w:w="2265" w:type="dxa"/>
          </w:tcPr>
          <w:p w14:paraId="08682A5F" w14:textId="77777777" w:rsidR="00153FB3" w:rsidRPr="003E167B" w:rsidRDefault="00153FB3" w:rsidP="005B3A1A">
            <w:pPr>
              <w:rPr>
                <w:i/>
                <w:sz w:val="20"/>
              </w:rPr>
            </w:pPr>
          </w:p>
        </w:tc>
        <w:tc>
          <w:tcPr>
            <w:tcW w:w="2265" w:type="dxa"/>
          </w:tcPr>
          <w:p w14:paraId="08682A60" w14:textId="77777777" w:rsidR="00153FB3" w:rsidRPr="003E167B" w:rsidRDefault="00153FB3" w:rsidP="005B3A1A">
            <w:pPr>
              <w:rPr>
                <w:i/>
                <w:sz w:val="20"/>
              </w:rPr>
            </w:pPr>
          </w:p>
        </w:tc>
      </w:tr>
    </w:tbl>
    <w:p w14:paraId="08682A62" w14:textId="77777777" w:rsidR="00153FB3" w:rsidRPr="003E167B" w:rsidRDefault="00153FB3" w:rsidP="00153FB3">
      <w:pPr>
        <w:rPr>
          <w:rFonts w:cs="Arial"/>
          <w:sz w:val="20"/>
        </w:rPr>
      </w:pPr>
    </w:p>
    <w:p w14:paraId="08682A63" w14:textId="77777777" w:rsidR="00153FB3" w:rsidRPr="003E167B" w:rsidRDefault="00153FB3" w:rsidP="00153FB3">
      <w:pPr>
        <w:rPr>
          <w:rFonts w:cs="Arial"/>
          <w:i/>
          <w:sz w:val="20"/>
        </w:rPr>
      </w:pPr>
      <w:r w:rsidRPr="003E167B">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153FB3" w:rsidRPr="003E167B" w14:paraId="08682A66" w14:textId="77777777" w:rsidTr="005B3A1A">
        <w:tc>
          <w:tcPr>
            <w:tcW w:w="2122" w:type="dxa"/>
          </w:tcPr>
          <w:p w14:paraId="08682A64" w14:textId="77777777" w:rsidR="00153FB3" w:rsidRPr="003E167B" w:rsidRDefault="00153FB3" w:rsidP="005B3A1A">
            <w:pPr>
              <w:rPr>
                <w:i/>
                <w:sz w:val="20"/>
              </w:rPr>
            </w:pPr>
            <w:r w:rsidRPr="003E167B">
              <w:rPr>
                <w:i/>
                <w:sz w:val="20"/>
              </w:rPr>
              <w:t>Document Number</w:t>
            </w:r>
          </w:p>
        </w:tc>
        <w:tc>
          <w:tcPr>
            <w:tcW w:w="6938" w:type="dxa"/>
          </w:tcPr>
          <w:p w14:paraId="08682A65" w14:textId="77777777" w:rsidR="00153FB3" w:rsidRPr="003E167B" w:rsidRDefault="00153FB3" w:rsidP="005B3A1A">
            <w:pPr>
              <w:rPr>
                <w:i/>
                <w:sz w:val="20"/>
              </w:rPr>
            </w:pPr>
            <w:r w:rsidRPr="003E167B">
              <w:rPr>
                <w:i/>
                <w:sz w:val="20"/>
              </w:rPr>
              <w:t>Document Name</w:t>
            </w:r>
          </w:p>
        </w:tc>
      </w:tr>
      <w:tr w:rsidR="00153FB3" w:rsidRPr="003E167B" w14:paraId="08682A69" w14:textId="77777777" w:rsidTr="005B3A1A">
        <w:tc>
          <w:tcPr>
            <w:tcW w:w="2122" w:type="dxa"/>
          </w:tcPr>
          <w:p w14:paraId="08682A67" w14:textId="15CD1ACE" w:rsidR="00153FB3" w:rsidRPr="003E167B" w:rsidRDefault="009F4320" w:rsidP="005B3A1A">
            <w:pPr>
              <w:rPr>
                <w:i/>
                <w:sz w:val="20"/>
              </w:rPr>
            </w:pPr>
            <w:r>
              <w:rPr>
                <w:i/>
                <w:sz w:val="20"/>
              </w:rPr>
              <w:t>CHHS18/169</w:t>
            </w:r>
          </w:p>
        </w:tc>
        <w:tc>
          <w:tcPr>
            <w:tcW w:w="6938" w:type="dxa"/>
          </w:tcPr>
          <w:p w14:paraId="54B47089" w14:textId="77777777" w:rsidR="009F4320" w:rsidRPr="009F4320" w:rsidRDefault="009F4320" w:rsidP="009F4320">
            <w:pPr>
              <w:rPr>
                <w:i/>
                <w:sz w:val="20"/>
              </w:rPr>
            </w:pPr>
            <w:r w:rsidRPr="009F4320">
              <w:rPr>
                <w:i/>
                <w:sz w:val="20"/>
              </w:rPr>
              <w:t>Gentamicin - Clinical Guidelines for Dosing and Monitoring of Once Daily Gentamicin in Paediatric Patients</w:t>
            </w:r>
          </w:p>
          <w:p w14:paraId="08682A68" w14:textId="77777777" w:rsidR="00153FB3" w:rsidRPr="003E167B" w:rsidRDefault="00153FB3" w:rsidP="005B3A1A">
            <w:pPr>
              <w:rPr>
                <w:i/>
                <w:sz w:val="20"/>
              </w:rPr>
            </w:pPr>
          </w:p>
        </w:tc>
      </w:tr>
    </w:tbl>
    <w:p w14:paraId="08682A6D" w14:textId="77777777" w:rsidR="00010E74" w:rsidRPr="00010E74" w:rsidRDefault="00010E74" w:rsidP="00153FB3">
      <w:pPr>
        <w:rPr>
          <w:i/>
          <w:sz w:val="20"/>
          <w:szCs w:val="24"/>
        </w:rPr>
      </w:pPr>
    </w:p>
    <w:sectPr w:rsidR="00010E74" w:rsidRPr="00010E74" w:rsidSect="00B10F87">
      <w:headerReference w:type="default" r:id="rId17"/>
      <w:footerReference w:type="default" r:id="rId18"/>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6DBB" w14:textId="77777777" w:rsidR="00330BA3" w:rsidRDefault="00330BA3" w:rsidP="00F66CB0">
      <w:r>
        <w:separator/>
      </w:r>
    </w:p>
  </w:endnote>
  <w:endnote w:type="continuationSeparator" w:id="0">
    <w:p w14:paraId="6835B20D" w14:textId="77777777" w:rsidR="00330BA3" w:rsidRDefault="00330BA3"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1670BB" w:rsidRPr="00AE7C5C" w14:paraId="08682A7C" w14:textId="77777777" w:rsidTr="008E7509">
      <w:tc>
        <w:tcPr>
          <w:tcW w:w="1515" w:type="dxa"/>
        </w:tcPr>
        <w:p w14:paraId="08682A76" w14:textId="77777777" w:rsidR="001670BB" w:rsidRPr="00B3752F" w:rsidRDefault="001670BB" w:rsidP="00B10F87">
          <w:pPr>
            <w:pStyle w:val="Footer"/>
            <w:rPr>
              <w:rFonts w:cs="Arial"/>
              <w:b/>
              <w:bCs/>
              <w:i/>
              <w:sz w:val="20"/>
            </w:rPr>
          </w:pPr>
          <w:r w:rsidRPr="00B3752F">
            <w:rPr>
              <w:rFonts w:cs="Arial"/>
              <w:b/>
              <w:bCs/>
              <w:i/>
              <w:sz w:val="20"/>
            </w:rPr>
            <w:t>Doc Number</w:t>
          </w:r>
        </w:p>
      </w:tc>
      <w:tc>
        <w:tcPr>
          <w:tcW w:w="965" w:type="dxa"/>
        </w:tcPr>
        <w:p w14:paraId="08682A77" w14:textId="77777777" w:rsidR="001670BB" w:rsidRPr="00B3752F" w:rsidRDefault="001670BB" w:rsidP="00B10F87">
          <w:pPr>
            <w:pStyle w:val="Footer"/>
            <w:rPr>
              <w:rFonts w:cs="Arial"/>
              <w:b/>
              <w:bCs/>
              <w:i/>
              <w:sz w:val="20"/>
            </w:rPr>
          </w:pPr>
          <w:r w:rsidRPr="00B3752F">
            <w:rPr>
              <w:rFonts w:cs="Arial"/>
              <w:b/>
              <w:bCs/>
              <w:i/>
              <w:sz w:val="20"/>
            </w:rPr>
            <w:t>Version</w:t>
          </w:r>
        </w:p>
      </w:tc>
      <w:tc>
        <w:tcPr>
          <w:tcW w:w="1552" w:type="dxa"/>
        </w:tcPr>
        <w:p w14:paraId="08682A78" w14:textId="77777777" w:rsidR="001670BB" w:rsidRPr="00B3752F" w:rsidRDefault="001670BB" w:rsidP="00B10F87">
          <w:pPr>
            <w:pStyle w:val="Footer"/>
            <w:rPr>
              <w:rFonts w:cs="Arial"/>
              <w:b/>
              <w:bCs/>
              <w:i/>
              <w:sz w:val="20"/>
            </w:rPr>
          </w:pPr>
          <w:r w:rsidRPr="00B3752F">
            <w:rPr>
              <w:rFonts w:cs="Arial"/>
              <w:b/>
              <w:bCs/>
              <w:i/>
              <w:sz w:val="20"/>
            </w:rPr>
            <w:t>Issued</w:t>
          </w:r>
        </w:p>
      </w:tc>
      <w:tc>
        <w:tcPr>
          <w:tcW w:w="1456" w:type="dxa"/>
        </w:tcPr>
        <w:p w14:paraId="08682A79" w14:textId="77777777" w:rsidR="001670BB" w:rsidRPr="00B3752F" w:rsidRDefault="001670BB" w:rsidP="00B10F87">
          <w:pPr>
            <w:pStyle w:val="Footer"/>
            <w:rPr>
              <w:rFonts w:cs="Arial"/>
              <w:b/>
              <w:bCs/>
              <w:i/>
              <w:sz w:val="20"/>
            </w:rPr>
          </w:pPr>
          <w:r w:rsidRPr="00B3752F">
            <w:rPr>
              <w:rFonts w:cs="Arial"/>
              <w:b/>
              <w:bCs/>
              <w:i/>
              <w:sz w:val="20"/>
            </w:rPr>
            <w:t>Review Date</w:t>
          </w:r>
        </w:p>
      </w:tc>
      <w:tc>
        <w:tcPr>
          <w:tcW w:w="1746" w:type="dxa"/>
        </w:tcPr>
        <w:p w14:paraId="08682A7A" w14:textId="77777777" w:rsidR="001670BB" w:rsidRPr="00B3752F" w:rsidRDefault="001670BB" w:rsidP="00B10F87">
          <w:pPr>
            <w:pStyle w:val="Footer"/>
            <w:rPr>
              <w:rFonts w:cs="Arial"/>
              <w:b/>
              <w:bCs/>
              <w:i/>
              <w:sz w:val="20"/>
            </w:rPr>
          </w:pPr>
          <w:r w:rsidRPr="00B3752F">
            <w:rPr>
              <w:rFonts w:cs="Arial"/>
              <w:b/>
              <w:bCs/>
              <w:i/>
              <w:sz w:val="20"/>
            </w:rPr>
            <w:t>Area Responsible</w:t>
          </w:r>
        </w:p>
      </w:tc>
      <w:tc>
        <w:tcPr>
          <w:tcW w:w="1836" w:type="dxa"/>
        </w:tcPr>
        <w:p w14:paraId="08682A7B" w14:textId="77777777" w:rsidR="001670BB" w:rsidRPr="00B3752F" w:rsidRDefault="001670BB" w:rsidP="00B10F87">
          <w:pPr>
            <w:pStyle w:val="Footer"/>
            <w:rPr>
              <w:rFonts w:cs="Arial"/>
              <w:b/>
              <w:bCs/>
              <w:i/>
              <w:sz w:val="20"/>
            </w:rPr>
          </w:pPr>
          <w:r w:rsidRPr="00B3752F">
            <w:rPr>
              <w:rFonts w:cs="Arial"/>
              <w:b/>
              <w:bCs/>
              <w:i/>
              <w:sz w:val="20"/>
            </w:rPr>
            <w:t>Page</w:t>
          </w:r>
        </w:p>
      </w:tc>
    </w:tr>
    <w:tr w:rsidR="001670BB" w14:paraId="08682A83" w14:textId="77777777" w:rsidTr="008E7509">
      <w:tc>
        <w:tcPr>
          <w:tcW w:w="1515" w:type="dxa"/>
        </w:tcPr>
        <w:p w14:paraId="08682A7D" w14:textId="3322F5CC" w:rsidR="001670BB" w:rsidRPr="00542EE6" w:rsidRDefault="0066715C" w:rsidP="00B10F87">
          <w:pPr>
            <w:pStyle w:val="Footer"/>
            <w:rPr>
              <w:rFonts w:cs="Arial"/>
              <w:b/>
              <w:bCs/>
              <w:sz w:val="20"/>
            </w:rPr>
          </w:pPr>
          <w:r>
            <w:rPr>
              <w:b/>
              <w:bCs/>
              <w:sz w:val="20"/>
            </w:rPr>
            <w:t>CHS22/071</w:t>
          </w:r>
        </w:p>
      </w:tc>
      <w:tc>
        <w:tcPr>
          <w:tcW w:w="965" w:type="dxa"/>
        </w:tcPr>
        <w:p w14:paraId="08682A7E" w14:textId="6C6D2277" w:rsidR="001670BB" w:rsidRPr="00B3752F" w:rsidRDefault="0066715C" w:rsidP="00B10F87">
          <w:pPr>
            <w:pStyle w:val="Footer"/>
            <w:rPr>
              <w:rFonts w:cs="Arial"/>
              <w:b/>
              <w:bCs/>
              <w:sz w:val="20"/>
            </w:rPr>
          </w:pPr>
          <w:r>
            <w:rPr>
              <w:rFonts w:cs="Arial"/>
              <w:b/>
              <w:bCs/>
              <w:sz w:val="20"/>
            </w:rPr>
            <w:t>1.0</w:t>
          </w:r>
        </w:p>
      </w:tc>
      <w:tc>
        <w:tcPr>
          <w:tcW w:w="1552" w:type="dxa"/>
        </w:tcPr>
        <w:p w14:paraId="08682A7F" w14:textId="4930A398" w:rsidR="001670BB" w:rsidRPr="00B3752F" w:rsidRDefault="0066715C" w:rsidP="00B10F87">
          <w:pPr>
            <w:pStyle w:val="Footer"/>
            <w:rPr>
              <w:rFonts w:cs="Arial"/>
              <w:b/>
              <w:bCs/>
              <w:sz w:val="20"/>
            </w:rPr>
          </w:pPr>
          <w:r>
            <w:rPr>
              <w:rFonts w:cs="Arial"/>
              <w:b/>
              <w:bCs/>
              <w:sz w:val="20"/>
            </w:rPr>
            <w:t>16/02/2022</w:t>
          </w:r>
        </w:p>
      </w:tc>
      <w:tc>
        <w:tcPr>
          <w:tcW w:w="1456" w:type="dxa"/>
        </w:tcPr>
        <w:p w14:paraId="08682A80" w14:textId="37C84E49" w:rsidR="001670BB" w:rsidRPr="00B3752F" w:rsidRDefault="0066715C" w:rsidP="00470E63">
          <w:pPr>
            <w:pStyle w:val="Footer"/>
            <w:rPr>
              <w:rFonts w:cs="Arial"/>
              <w:b/>
              <w:bCs/>
              <w:sz w:val="20"/>
            </w:rPr>
          </w:pPr>
          <w:r>
            <w:rPr>
              <w:rFonts w:cs="Arial"/>
              <w:b/>
              <w:bCs/>
              <w:sz w:val="20"/>
            </w:rPr>
            <w:t>01/03/2025</w:t>
          </w:r>
        </w:p>
      </w:tc>
      <w:tc>
        <w:tcPr>
          <w:tcW w:w="1746" w:type="dxa"/>
        </w:tcPr>
        <w:p w14:paraId="08682A81" w14:textId="3C26CFB2" w:rsidR="001670BB" w:rsidRPr="00B3752F" w:rsidRDefault="0066715C" w:rsidP="00B10F87">
          <w:pPr>
            <w:pStyle w:val="Footer"/>
            <w:rPr>
              <w:rFonts w:cs="Arial"/>
              <w:b/>
              <w:bCs/>
              <w:sz w:val="20"/>
            </w:rPr>
          </w:pPr>
          <w:r>
            <w:rPr>
              <w:rFonts w:cs="Arial"/>
              <w:b/>
              <w:bCs/>
              <w:sz w:val="20"/>
            </w:rPr>
            <w:t>WY&amp;C Paediatrics</w:t>
          </w:r>
        </w:p>
      </w:tc>
      <w:tc>
        <w:tcPr>
          <w:tcW w:w="1836" w:type="dxa"/>
        </w:tcPr>
        <w:p w14:paraId="08682A82" w14:textId="77777777" w:rsidR="001670BB" w:rsidRPr="00B3752F" w:rsidRDefault="00A063FE" w:rsidP="00B10F87">
          <w:pPr>
            <w:pStyle w:val="Footer"/>
            <w:rPr>
              <w:sz w:val="20"/>
            </w:rPr>
          </w:pPr>
          <w:r w:rsidRPr="00B3752F">
            <w:rPr>
              <w:rStyle w:val="PageNumber"/>
              <w:sz w:val="20"/>
            </w:rPr>
            <w:fldChar w:fldCharType="begin"/>
          </w:r>
          <w:r w:rsidR="001670BB" w:rsidRPr="00B3752F">
            <w:rPr>
              <w:rStyle w:val="PageNumber"/>
              <w:sz w:val="20"/>
            </w:rPr>
            <w:instrText xml:space="preserve"> PAGE </w:instrText>
          </w:r>
          <w:r w:rsidRPr="00B3752F">
            <w:rPr>
              <w:rStyle w:val="PageNumber"/>
              <w:sz w:val="20"/>
            </w:rPr>
            <w:fldChar w:fldCharType="separate"/>
          </w:r>
          <w:r w:rsidR="00470E63">
            <w:rPr>
              <w:rStyle w:val="PageNumber"/>
              <w:noProof/>
              <w:sz w:val="20"/>
            </w:rPr>
            <w:t>5</w:t>
          </w:r>
          <w:r w:rsidRPr="00B3752F">
            <w:rPr>
              <w:rStyle w:val="PageNumber"/>
              <w:sz w:val="20"/>
            </w:rPr>
            <w:fldChar w:fldCharType="end"/>
          </w:r>
          <w:r w:rsidR="001670BB" w:rsidRPr="00B3752F">
            <w:rPr>
              <w:rStyle w:val="PageNumber"/>
              <w:sz w:val="20"/>
            </w:rPr>
            <w:t xml:space="preserve"> of </w:t>
          </w:r>
          <w:r w:rsidRPr="00B3752F">
            <w:rPr>
              <w:rStyle w:val="PageNumber"/>
              <w:sz w:val="20"/>
            </w:rPr>
            <w:fldChar w:fldCharType="begin"/>
          </w:r>
          <w:r w:rsidR="001670BB" w:rsidRPr="00B3752F">
            <w:rPr>
              <w:rStyle w:val="PageNumber"/>
              <w:sz w:val="20"/>
            </w:rPr>
            <w:instrText xml:space="preserve"> NUMPAGES </w:instrText>
          </w:r>
          <w:r w:rsidRPr="00B3752F">
            <w:rPr>
              <w:rStyle w:val="PageNumber"/>
              <w:sz w:val="20"/>
            </w:rPr>
            <w:fldChar w:fldCharType="separate"/>
          </w:r>
          <w:r w:rsidR="00470E63">
            <w:rPr>
              <w:rStyle w:val="PageNumber"/>
              <w:noProof/>
              <w:sz w:val="20"/>
            </w:rPr>
            <w:t>5</w:t>
          </w:r>
          <w:r w:rsidRPr="00B3752F">
            <w:rPr>
              <w:rStyle w:val="PageNumber"/>
              <w:sz w:val="20"/>
            </w:rPr>
            <w:fldChar w:fldCharType="end"/>
          </w:r>
        </w:p>
      </w:tc>
    </w:tr>
    <w:tr w:rsidR="008E7509" w14:paraId="274E5098"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81E8E84" w14:textId="208943B0" w:rsidR="008E7509" w:rsidRPr="002C1428" w:rsidRDefault="008E7509" w:rsidP="008E7509">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205AF9">
            <w:rPr>
              <w:sz w:val="16"/>
              <w:szCs w:val="16"/>
            </w:rPr>
            <w:t>CHS</w:t>
          </w:r>
          <w:r w:rsidRPr="002C1428">
            <w:rPr>
              <w:sz w:val="16"/>
              <w:szCs w:val="16"/>
            </w:rPr>
            <w:t xml:space="preserve"> Policy Register</w:t>
          </w:r>
        </w:p>
      </w:tc>
    </w:tr>
  </w:tbl>
  <w:p w14:paraId="08682A85" w14:textId="0FDE7BBC" w:rsidR="001670BB" w:rsidRPr="00AE7C5C" w:rsidRDefault="001670BB" w:rsidP="00470E63">
    <w:pPr>
      <w:pStyle w:val="Footer"/>
      <w:tabs>
        <w:tab w:val="clear" w:pos="4153"/>
        <w:tab w:val="clear" w:pos="8306"/>
        <w:tab w:val="left" w:pos="14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BE7B" w14:textId="77777777" w:rsidR="00330BA3" w:rsidRDefault="00330BA3" w:rsidP="00F66CB0">
      <w:r>
        <w:separator/>
      </w:r>
    </w:p>
  </w:footnote>
  <w:footnote w:type="continuationSeparator" w:id="0">
    <w:p w14:paraId="4720407D" w14:textId="77777777" w:rsidR="00330BA3" w:rsidRDefault="00330BA3"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A939DF" w14:paraId="60F17A8F" w14:textId="77777777" w:rsidTr="00894713">
      <w:trPr>
        <w:trHeight w:val="1418"/>
      </w:trPr>
      <w:tc>
        <w:tcPr>
          <w:tcW w:w="5556" w:type="dxa"/>
          <w:vAlign w:val="center"/>
          <w:hideMark/>
        </w:tcPr>
        <w:p w14:paraId="4A5666D5" w14:textId="77777777" w:rsidR="00A939DF" w:rsidRDefault="00A939DF" w:rsidP="00A939DF">
          <w:pPr>
            <w:pStyle w:val="Header"/>
            <w:rPr>
              <w:sz w:val="20"/>
            </w:rPr>
          </w:pPr>
          <w:r>
            <w:rPr>
              <w:noProof/>
              <w:sz w:val="20"/>
            </w:rPr>
            <w:drawing>
              <wp:inline distT="0" distB="0" distL="0" distR="0" wp14:anchorId="2AF797D7" wp14:editId="7788EF6A">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6FB3D4A4" w14:textId="35213FB6" w:rsidR="00A939DF" w:rsidRDefault="00A939DF" w:rsidP="00A939DF">
          <w:pPr>
            <w:pStyle w:val="Header"/>
            <w:tabs>
              <w:tab w:val="left" w:pos="720"/>
            </w:tabs>
            <w:jc w:val="right"/>
            <w:rPr>
              <w:sz w:val="20"/>
            </w:rPr>
          </w:pPr>
          <w:bookmarkStart w:id="26" w:name="_top"/>
          <w:bookmarkEnd w:id="26"/>
          <w:r>
            <w:rPr>
              <w:sz w:val="20"/>
            </w:rPr>
            <w:t>CH</w:t>
          </w:r>
          <w:r w:rsidR="0066715C">
            <w:rPr>
              <w:sz w:val="20"/>
            </w:rPr>
            <w:t>S22/071</w:t>
          </w:r>
        </w:p>
      </w:tc>
    </w:tr>
  </w:tbl>
  <w:p w14:paraId="08682A75" w14:textId="77777777" w:rsidR="001670BB" w:rsidRPr="00FC3538" w:rsidRDefault="001670B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01429BE"/>
    <w:multiLevelType w:val="hybridMultilevel"/>
    <w:tmpl w:val="4A447E34"/>
    <w:lvl w:ilvl="0" w:tplc="0C090001">
      <w:start w:val="1"/>
      <w:numFmt w:val="bullet"/>
      <w:lvlText w:val=""/>
      <w:lvlJc w:val="left"/>
      <w:pPr>
        <w:ind w:left="360" w:hanging="360"/>
      </w:pPr>
      <w:rPr>
        <w:rFonts w:ascii="Symbol" w:hAnsi="Symbol" w:hint="default"/>
      </w:rPr>
    </w:lvl>
    <w:lvl w:ilvl="1" w:tplc="3C9A2AA4">
      <w:start w:val="1"/>
      <w:numFmt w:val="lowerLetter"/>
      <w:lvlText w:val="%2."/>
      <w:lvlJc w:val="left"/>
      <w:pPr>
        <w:ind w:left="1080" w:hanging="360"/>
      </w:pPr>
      <w:rPr>
        <w:rFonts w:ascii="Calibri" w:eastAsia="Times New Roman" w:hAnsi="Calibri" w:cs="Calibri"/>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 w15:restartNumberingAfterBreak="0">
    <w:nsid w:val="02342134"/>
    <w:multiLevelType w:val="hybridMultilevel"/>
    <w:tmpl w:val="F55C8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4" w15:restartNumberingAfterBreak="0">
    <w:nsid w:val="078079A0"/>
    <w:multiLevelType w:val="hybridMultilevel"/>
    <w:tmpl w:val="E65E2E4E"/>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BA856F2"/>
    <w:multiLevelType w:val="hybridMultilevel"/>
    <w:tmpl w:val="85AA32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AC3714"/>
    <w:multiLevelType w:val="hybridMultilevel"/>
    <w:tmpl w:val="8DCA0690"/>
    <w:lvl w:ilvl="0" w:tplc="A0AA2072">
      <w:start w:val="1"/>
      <w:numFmt w:val="decimal"/>
      <w:lvlText w:val="%1."/>
      <w:lvlJc w:val="left"/>
      <w:pPr>
        <w:ind w:left="1571" w:hanging="360"/>
      </w:pPr>
      <w:rPr>
        <w:rFonts w:ascii="Calibri" w:hAnsi="Calibri" w:hint="default"/>
        <w:b w:val="0"/>
        <w:i w:val="0"/>
        <w:sz w:val="24"/>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3234E9"/>
    <w:multiLevelType w:val="hybridMultilevel"/>
    <w:tmpl w:val="2EC23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C6E1E"/>
    <w:multiLevelType w:val="hybridMultilevel"/>
    <w:tmpl w:val="59D47D76"/>
    <w:lvl w:ilvl="0" w:tplc="0C090003">
      <w:start w:val="1"/>
      <w:numFmt w:val="bullet"/>
      <w:lvlText w:val="o"/>
      <w:lvlJc w:val="left"/>
      <w:pPr>
        <w:ind w:left="720" w:hanging="360"/>
      </w:pPr>
      <w:rPr>
        <w:rFonts w:ascii="Courier New" w:hAnsi="Courier New" w:cs="Courier New" w:hint="default"/>
      </w:rPr>
    </w:lvl>
    <w:lvl w:ilvl="1" w:tplc="AFA2523C">
      <w:start w:val="1"/>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32CC3"/>
    <w:multiLevelType w:val="hybridMultilevel"/>
    <w:tmpl w:val="00CAB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4" w15:restartNumberingAfterBreak="0">
    <w:nsid w:val="61CB6186"/>
    <w:multiLevelType w:val="hybridMultilevel"/>
    <w:tmpl w:val="353CC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D7187D"/>
    <w:multiLevelType w:val="hybridMultilevel"/>
    <w:tmpl w:val="676E4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A66C13"/>
    <w:multiLevelType w:val="hybridMultilevel"/>
    <w:tmpl w:val="22464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837006"/>
    <w:multiLevelType w:val="hybridMultilevel"/>
    <w:tmpl w:val="EDB6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D520F63"/>
    <w:multiLevelType w:val="hybridMultilevel"/>
    <w:tmpl w:val="DF0AFD52"/>
    <w:lvl w:ilvl="0" w:tplc="DD02479A">
      <w:start w:val="1"/>
      <w:numFmt w:val="bullet"/>
      <w:lvlText w:val=""/>
      <w:lvlJc w:val="left"/>
      <w:pPr>
        <w:ind w:left="720" w:hanging="360"/>
      </w:pPr>
      <w:rPr>
        <w:rFonts w:ascii="Symbol" w:hAnsi="Symbol" w:hint="default"/>
      </w:rPr>
    </w:lvl>
    <w:lvl w:ilvl="1" w:tplc="30B27CC0">
      <w:start w:val="1"/>
      <w:numFmt w:val="bullet"/>
      <w:lvlText w:val="o"/>
      <w:lvlJc w:val="left"/>
      <w:pPr>
        <w:ind w:left="1440" w:hanging="360"/>
      </w:pPr>
      <w:rPr>
        <w:rFonts w:ascii="Courier New" w:hAnsi="Courier New" w:hint="default"/>
      </w:rPr>
    </w:lvl>
    <w:lvl w:ilvl="2" w:tplc="710445E8">
      <w:start w:val="1"/>
      <w:numFmt w:val="bullet"/>
      <w:lvlText w:val=""/>
      <w:lvlJc w:val="left"/>
      <w:pPr>
        <w:ind w:left="2160" w:hanging="360"/>
      </w:pPr>
      <w:rPr>
        <w:rFonts w:ascii="Wingdings" w:hAnsi="Wingdings" w:hint="default"/>
      </w:rPr>
    </w:lvl>
    <w:lvl w:ilvl="3" w:tplc="27C4D782">
      <w:start w:val="1"/>
      <w:numFmt w:val="bullet"/>
      <w:lvlText w:val=""/>
      <w:lvlJc w:val="left"/>
      <w:pPr>
        <w:ind w:left="2880" w:hanging="360"/>
      </w:pPr>
      <w:rPr>
        <w:rFonts w:ascii="Symbol" w:hAnsi="Symbol" w:hint="default"/>
      </w:rPr>
    </w:lvl>
    <w:lvl w:ilvl="4" w:tplc="1CDEDDFA">
      <w:start w:val="1"/>
      <w:numFmt w:val="bullet"/>
      <w:lvlText w:val="o"/>
      <w:lvlJc w:val="left"/>
      <w:pPr>
        <w:ind w:left="3600" w:hanging="360"/>
      </w:pPr>
      <w:rPr>
        <w:rFonts w:ascii="Courier New" w:hAnsi="Courier New" w:hint="default"/>
      </w:rPr>
    </w:lvl>
    <w:lvl w:ilvl="5" w:tplc="5C56D1E8">
      <w:start w:val="1"/>
      <w:numFmt w:val="bullet"/>
      <w:lvlText w:val=""/>
      <w:lvlJc w:val="left"/>
      <w:pPr>
        <w:ind w:left="4320" w:hanging="360"/>
      </w:pPr>
      <w:rPr>
        <w:rFonts w:ascii="Wingdings" w:hAnsi="Wingdings" w:hint="default"/>
      </w:rPr>
    </w:lvl>
    <w:lvl w:ilvl="6" w:tplc="42E6BEAC">
      <w:start w:val="1"/>
      <w:numFmt w:val="bullet"/>
      <w:lvlText w:val=""/>
      <w:lvlJc w:val="left"/>
      <w:pPr>
        <w:ind w:left="5040" w:hanging="360"/>
      </w:pPr>
      <w:rPr>
        <w:rFonts w:ascii="Symbol" w:hAnsi="Symbol" w:hint="default"/>
      </w:rPr>
    </w:lvl>
    <w:lvl w:ilvl="7" w:tplc="487880B6">
      <w:start w:val="1"/>
      <w:numFmt w:val="bullet"/>
      <w:lvlText w:val="o"/>
      <w:lvlJc w:val="left"/>
      <w:pPr>
        <w:ind w:left="5760" w:hanging="360"/>
      </w:pPr>
      <w:rPr>
        <w:rFonts w:ascii="Courier New" w:hAnsi="Courier New" w:hint="default"/>
      </w:rPr>
    </w:lvl>
    <w:lvl w:ilvl="8" w:tplc="28DE4E8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7"/>
  </w:num>
  <w:num w:numId="5">
    <w:abstractNumId w:val="9"/>
  </w:num>
  <w:num w:numId="6">
    <w:abstractNumId w:val="6"/>
  </w:num>
  <w:num w:numId="7">
    <w:abstractNumId w:val="18"/>
  </w:num>
  <w:num w:numId="8">
    <w:abstractNumId w:val="13"/>
  </w:num>
  <w:num w:numId="9">
    <w:abstractNumId w:val="12"/>
  </w:num>
  <w:num w:numId="10">
    <w:abstractNumId w:val="12"/>
  </w:num>
  <w:num w:numId="11">
    <w:abstractNumId w:val="2"/>
  </w:num>
  <w:num w:numId="12">
    <w:abstractNumId w:val="8"/>
  </w:num>
  <w:num w:numId="13">
    <w:abstractNumId w:val="19"/>
  </w:num>
  <w:num w:numId="14">
    <w:abstractNumId w:val="1"/>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4"/>
  </w:num>
  <w:num w:numId="19">
    <w:abstractNumId w:val="5"/>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05EF"/>
    <w:rsid w:val="00010E74"/>
    <w:rsid w:val="000121C3"/>
    <w:rsid w:val="00015B90"/>
    <w:rsid w:val="0001607A"/>
    <w:rsid w:val="000407BE"/>
    <w:rsid w:val="000728F3"/>
    <w:rsid w:val="000A3D5E"/>
    <w:rsid w:val="000B5C8C"/>
    <w:rsid w:val="000C59E2"/>
    <w:rsid w:val="000C7B2D"/>
    <w:rsid w:val="000F7B7E"/>
    <w:rsid w:val="0010015B"/>
    <w:rsid w:val="00103EEA"/>
    <w:rsid w:val="00136669"/>
    <w:rsid w:val="00153FB3"/>
    <w:rsid w:val="001670BB"/>
    <w:rsid w:val="0018239D"/>
    <w:rsid w:val="00191109"/>
    <w:rsid w:val="00194477"/>
    <w:rsid w:val="001A0053"/>
    <w:rsid w:val="001B2465"/>
    <w:rsid w:val="001E64DB"/>
    <w:rsid w:val="001F2829"/>
    <w:rsid w:val="001F2C50"/>
    <w:rsid w:val="001F6D2D"/>
    <w:rsid w:val="00205AF9"/>
    <w:rsid w:val="00240B97"/>
    <w:rsid w:val="0025382D"/>
    <w:rsid w:val="00253F5A"/>
    <w:rsid w:val="00263BA6"/>
    <w:rsid w:val="00266379"/>
    <w:rsid w:val="0026690C"/>
    <w:rsid w:val="00271B0A"/>
    <w:rsid w:val="0027264D"/>
    <w:rsid w:val="00293E43"/>
    <w:rsid w:val="002B478A"/>
    <w:rsid w:val="002B5F43"/>
    <w:rsid w:val="002C05A8"/>
    <w:rsid w:val="002F7AFC"/>
    <w:rsid w:val="00313707"/>
    <w:rsid w:val="00330BA3"/>
    <w:rsid w:val="00376A6D"/>
    <w:rsid w:val="00380B98"/>
    <w:rsid w:val="00396023"/>
    <w:rsid w:val="00396F11"/>
    <w:rsid w:val="003C4BB5"/>
    <w:rsid w:val="003E167B"/>
    <w:rsid w:val="003E4CC0"/>
    <w:rsid w:val="003F3D8F"/>
    <w:rsid w:val="00412CED"/>
    <w:rsid w:val="00416F85"/>
    <w:rsid w:val="00427139"/>
    <w:rsid w:val="004358E9"/>
    <w:rsid w:val="00447B55"/>
    <w:rsid w:val="00465C91"/>
    <w:rsid w:val="00470E63"/>
    <w:rsid w:val="00487DD5"/>
    <w:rsid w:val="004A2E02"/>
    <w:rsid w:val="004A6A76"/>
    <w:rsid w:val="004B7C43"/>
    <w:rsid w:val="004C2B20"/>
    <w:rsid w:val="004E28AD"/>
    <w:rsid w:val="004F1D05"/>
    <w:rsid w:val="0050147B"/>
    <w:rsid w:val="00503F75"/>
    <w:rsid w:val="0052443C"/>
    <w:rsid w:val="0052775E"/>
    <w:rsid w:val="00542514"/>
    <w:rsid w:val="00546AED"/>
    <w:rsid w:val="005621E4"/>
    <w:rsid w:val="005736DB"/>
    <w:rsid w:val="005743AC"/>
    <w:rsid w:val="00596FD7"/>
    <w:rsid w:val="005A3625"/>
    <w:rsid w:val="005B4738"/>
    <w:rsid w:val="005C212D"/>
    <w:rsid w:val="005C3CB0"/>
    <w:rsid w:val="006027FA"/>
    <w:rsid w:val="00612231"/>
    <w:rsid w:val="00614380"/>
    <w:rsid w:val="00635EB1"/>
    <w:rsid w:val="006473BB"/>
    <w:rsid w:val="0065246A"/>
    <w:rsid w:val="0066495D"/>
    <w:rsid w:val="0066715C"/>
    <w:rsid w:val="006743DB"/>
    <w:rsid w:val="00695EB6"/>
    <w:rsid w:val="006A4D46"/>
    <w:rsid w:val="006A6024"/>
    <w:rsid w:val="006C31FF"/>
    <w:rsid w:val="006C6B6C"/>
    <w:rsid w:val="006C704D"/>
    <w:rsid w:val="0070331D"/>
    <w:rsid w:val="00706A49"/>
    <w:rsid w:val="00741B43"/>
    <w:rsid w:val="00752315"/>
    <w:rsid w:val="00756537"/>
    <w:rsid w:val="00775280"/>
    <w:rsid w:val="007A0EBC"/>
    <w:rsid w:val="007B4ABB"/>
    <w:rsid w:val="007B6904"/>
    <w:rsid w:val="00816782"/>
    <w:rsid w:val="0082141D"/>
    <w:rsid w:val="00827F24"/>
    <w:rsid w:val="00855DA8"/>
    <w:rsid w:val="00865480"/>
    <w:rsid w:val="008732E4"/>
    <w:rsid w:val="00886399"/>
    <w:rsid w:val="008974CA"/>
    <w:rsid w:val="008D0CBA"/>
    <w:rsid w:val="008E1F7F"/>
    <w:rsid w:val="008E3427"/>
    <w:rsid w:val="008E74FD"/>
    <w:rsid w:val="008E7509"/>
    <w:rsid w:val="008F00E8"/>
    <w:rsid w:val="008F6921"/>
    <w:rsid w:val="00933EED"/>
    <w:rsid w:val="00940CDE"/>
    <w:rsid w:val="0097742A"/>
    <w:rsid w:val="00980AE7"/>
    <w:rsid w:val="00980EED"/>
    <w:rsid w:val="0098312B"/>
    <w:rsid w:val="0098579F"/>
    <w:rsid w:val="00991670"/>
    <w:rsid w:val="009A534C"/>
    <w:rsid w:val="009B0E44"/>
    <w:rsid w:val="009B4A8F"/>
    <w:rsid w:val="009B6C8C"/>
    <w:rsid w:val="009B6F42"/>
    <w:rsid w:val="009C0FCA"/>
    <w:rsid w:val="009C3963"/>
    <w:rsid w:val="009D323C"/>
    <w:rsid w:val="009F4320"/>
    <w:rsid w:val="00A063FE"/>
    <w:rsid w:val="00A13087"/>
    <w:rsid w:val="00A3469C"/>
    <w:rsid w:val="00A350E5"/>
    <w:rsid w:val="00A35E2D"/>
    <w:rsid w:val="00A74B8A"/>
    <w:rsid w:val="00A85F61"/>
    <w:rsid w:val="00A86A9D"/>
    <w:rsid w:val="00A86DB3"/>
    <w:rsid w:val="00A939DF"/>
    <w:rsid w:val="00AA25DC"/>
    <w:rsid w:val="00B10F87"/>
    <w:rsid w:val="00B11471"/>
    <w:rsid w:val="00B17115"/>
    <w:rsid w:val="00B21043"/>
    <w:rsid w:val="00B30DA2"/>
    <w:rsid w:val="00B44CAC"/>
    <w:rsid w:val="00B453FC"/>
    <w:rsid w:val="00B573D6"/>
    <w:rsid w:val="00B61F35"/>
    <w:rsid w:val="00B634F1"/>
    <w:rsid w:val="00B81455"/>
    <w:rsid w:val="00B9627F"/>
    <w:rsid w:val="00BA0A1B"/>
    <w:rsid w:val="00BA2415"/>
    <w:rsid w:val="00BA4F95"/>
    <w:rsid w:val="00BA5B60"/>
    <w:rsid w:val="00BB33F9"/>
    <w:rsid w:val="00BC3CE6"/>
    <w:rsid w:val="00BD03DB"/>
    <w:rsid w:val="00BE5E41"/>
    <w:rsid w:val="00C13D33"/>
    <w:rsid w:val="00C24EDC"/>
    <w:rsid w:val="00C25A76"/>
    <w:rsid w:val="00C31BD5"/>
    <w:rsid w:val="00C32206"/>
    <w:rsid w:val="00C45B40"/>
    <w:rsid w:val="00C45C67"/>
    <w:rsid w:val="00C523FF"/>
    <w:rsid w:val="00C532D4"/>
    <w:rsid w:val="00C606F3"/>
    <w:rsid w:val="00C71C3C"/>
    <w:rsid w:val="00C9490E"/>
    <w:rsid w:val="00CA593D"/>
    <w:rsid w:val="00D006EF"/>
    <w:rsid w:val="00D06786"/>
    <w:rsid w:val="00D16211"/>
    <w:rsid w:val="00D21780"/>
    <w:rsid w:val="00D23346"/>
    <w:rsid w:val="00D243B8"/>
    <w:rsid w:val="00D34794"/>
    <w:rsid w:val="00D42B85"/>
    <w:rsid w:val="00D4502D"/>
    <w:rsid w:val="00D530CE"/>
    <w:rsid w:val="00D53E3C"/>
    <w:rsid w:val="00D54ED5"/>
    <w:rsid w:val="00D7517E"/>
    <w:rsid w:val="00D77950"/>
    <w:rsid w:val="00DC3762"/>
    <w:rsid w:val="00DC739E"/>
    <w:rsid w:val="00DD0346"/>
    <w:rsid w:val="00DD616A"/>
    <w:rsid w:val="00DE0465"/>
    <w:rsid w:val="00DE5216"/>
    <w:rsid w:val="00E049ED"/>
    <w:rsid w:val="00E34E6D"/>
    <w:rsid w:val="00E37CD4"/>
    <w:rsid w:val="00E41A47"/>
    <w:rsid w:val="00E53B9C"/>
    <w:rsid w:val="00E57848"/>
    <w:rsid w:val="00EA1A1E"/>
    <w:rsid w:val="00ED21C3"/>
    <w:rsid w:val="00ED388C"/>
    <w:rsid w:val="00EF02B0"/>
    <w:rsid w:val="00F01B61"/>
    <w:rsid w:val="00F107B1"/>
    <w:rsid w:val="00F13DD8"/>
    <w:rsid w:val="00F149FD"/>
    <w:rsid w:val="00F4262F"/>
    <w:rsid w:val="00F53719"/>
    <w:rsid w:val="00F565DA"/>
    <w:rsid w:val="00F57291"/>
    <w:rsid w:val="00F66CB0"/>
    <w:rsid w:val="00F72D0E"/>
    <w:rsid w:val="00F76C89"/>
    <w:rsid w:val="00F829B8"/>
    <w:rsid w:val="00F83FBF"/>
    <w:rsid w:val="00FA29B8"/>
    <w:rsid w:val="00FD3D92"/>
    <w:rsid w:val="00FF389E"/>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829D0"/>
  <w15:docId w15:val="{7C59962F-F2E2-4E7A-8675-E3BE3607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743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99"/>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D7517E"/>
    <w:rPr>
      <w:sz w:val="16"/>
      <w:szCs w:val="16"/>
    </w:rPr>
  </w:style>
  <w:style w:type="paragraph" w:styleId="CommentText">
    <w:name w:val="annotation text"/>
    <w:basedOn w:val="Normal"/>
    <w:link w:val="CommentTextChar"/>
    <w:uiPriority w:val="99"/>
    <w:semiHidden/>
    <w:unhideWhenUsed/>
    <w:rsid w:val="00D7517E"/>
    <w:rPr>
      <w:sz w:val="20"/>
    </w:rPr>
  </w:style>
  <w:style w:type="character" w:customStyle="1" w:styleId="CommentTextChar">
    <w:name w:val="Comment Text Char"/>
    <w:basedOn w:val="DefaultParagraphFont"/>
    <w:link w:val="CommentText"/>
    <w:uiPriority w:val="99"/>
    <w:semiHidden/>
    <w:rsid w:val="00D751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517E"/>
    <w:rPr>
      <w:b/>
      <w:bCs/>
    </w:rPr>
  </w:style>
  <w:style w:type="character" w:customStyle="1" w:styleId="CommentSubjectChar">
    <w:name w:val="Comment Subject Char"/>
    <w:basedOn w:val="CommentTextChar"/>
    <w:link w:val="CommentSubject"/>
    <w:uiPriority w:val="99"/>
    <w:semiHidden/>
    <w:rsid w:val="00D7517E"/>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semiHidden/>
    <w:rsid w:val="005743AC"/>
    <w:rPr>
      <w:rFonts w:asciiTheme="majorHAnsi" w:eastAsiaTheme="majorEastAsia" w:hAnsiTheme="majorHAnsi" w:cstheme="majorBidi"/>
      <w:b/>
      <w:bCs/>
      <w:color w:val="4F81BD" w:themeColor="accent1"/>
      <w:sz w:val="24"/>
      <w:szCs w:val="20"/>
    </w:rPr>
  </w:style>
  <w:style w:type="character" w:styleId="UnresolvedMention">
    <w:name w:val="Unresolved Mention"/>
    <w:basedOn w:val="DefaultParagraphFont"/>
    <w:uiPriority w:val="99"/>
    <w:semiHidden/>
    <w:unhideWhenUsed/>
    <w:rsid w:val="002B4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67629">
      <w:bodyDiv w:val="1"/>
      <w:marLeft w:val="0"/>
      <w:marRight w:val="0"/>
      <w:marTop w:val="0"/>
      <w:marBottom w:val="0"/>
      <w:divBdr>
        <w:top w:val="none" w:sz="0" w:space="0" w:color="auto"/>
        <w:left w:val="none" w:sz="0" w:space="0" w:color="auto"/>
        <w:bottom w:val="none" w:sz="0" w:space="0" w:color="auto"/>
        <w:right w:val="none" w:sz="0" w:space="0" w:color="auto"/>
      </w:divBdr>
    </w:div>
    <w:div w:id="1272668842">
      <w:bodyDiv w:val="1"/>
      <w:marLeft w:val="0"/>
      <w:marRight w:val="0"/>
      <w:marTop w:val="0"/>
      <w:marBottom w:val="0"/>
      <w:divBdr>
        <w:top w:val="none" w:sz="0" w:space="0" w:color="auto"/>
        <w:left w:val="none" w:sz="0" w:space="0" w:color="auto"/>
        <w:bottom w:val="none" w:sz="0" w:space="0" w:color="auto"/>
        <w:right w:val="none" w:sz="0" w:space="0" w:color="auto"/>
      </w:divBdr>
    </w:div>
    <w:div w:id="1325166974">
      <w:bodyDiv w:val="1"/>
      <w:marLeft w:val="0"/>
      <w:marRight w:val="0"/>
      <w:marTop w:val="0"/>
      <w:marBottom w:val="0"/>
      <w:divBdr>
        <w:top w:val="none" w:sz="0" w:space="0" w:color="auto"/>
        <w:left w:val="none" w:sz="0" w:space="0" w:color="auto"/>
        <w:bottom w:val="none" w:sz="0" w:space="0" w:color="auto"/>
        <w:right w:val="none" w:sz="0" w:space="0" w:color="auto"/>
      </w:divBdr>
    </w:div>
    <w:div w:id="18314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c.health.nsw.gov.au/keep-patients-safe/medication-safety/high-risk-medicines/Gentamicin-paediatri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idh.hcn.com.au/browse/g/gentamic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idh.hcn.com.au/browse/g/gentami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gldcdp.tg.org.au/viewTopic?topicfile=aminoglycoside-use-principles&amp;guidelineName=Antibiotic" TargetMode="External"/><Relationship Id="rId5" Type="http://schemas.openxmlformats.org/officeDocument/2006/relationships/numbering" Target="numbering.xml"/><Relationship Id="rId15" Type="http://schemas.openxmlformats.org/officeDocument/2006/relationships/hyperlink" Target="https://childrens.amh.net.au/monographs/gentamici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n.health.nsw.gov.au/_policies/pdf/2011-8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2022-02-03T13:00:00+00:00</Approval_x0020_Date>
    <Review_x0020_Date xmlns="690b2128-8961-48af-a473-22c34a9accba">2025-02-28T13:00:00+00:00</Review_x0020_Date>
    <TaxCatchAll xmlns="c0239a80-7f07-4ed7-82c3-24ad7d76ada5" xsi:nil="true"/>
    <Version_x0020_Number xmlns="690b2128-8961-48af-a473-22c34a9accba">1.0</Version_x0020_Number>
    <Notes0 xmlns="690b2128-8961-48af-a473-22c34a9accba">16/02/2022- Uploaded to the register. Author notified.</Notes0>
    <Key_x0020_Words xmlns="690b2128-8961-48af-a473-22c34a9accba">Gentamicin, Paediatric gentamicin, Gentamicin dosing, Gentamicin monitoring, Gentamicin level</Key_x0020_Words>
    <Type_x0020_of_x0020_Document xmlns="690b2128-8961-48af-a473-22c34a9accba">Guideline</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CHHS18/169-Gentamicin Clinical Guidelines for Dosing and Monitoring of Once Daily Gentamicin in Paediatric Patients</Replaces_x003a_>
    <Risk_x0020_Rating xmlns="690b2128-8961-48af-a473-22c34a9accba">High</Risk_x0020_Rating>
    <Description0 xmlns="690b2128-8961-48af-a473-22c34a9accba">The document applies to CHS staff working within their scope of practice that prescribe, administer, monitor or advise on the use of once daily gentamicin in paediatric patients at CHS.</Description0>
    <Display_x0020_on_x0020_Internet xmlns="690b2128-8961-48af-a473-22c34a9accba">true</Display_x0020_on_x0020_Internet>
    <Related_x0020_Documents xmlns="690b2128-8961-48af-a473-22c34a9accba" xsi:nil="true"/>
    <Decision_x0020_Number xmlns="690b2128-8961-48af-a473-22c34a9accba">CHS22/071</Decision_x0020_Number>
    <New_x0020_Owner xmlns="690b2128-8961-48af-a473-22c34a9accba">Women, Youth and Children (WY&amp;C) - Paediatrics</New_x0020_Own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CE065-8A76-4612-B6B3-FBE0E46BFCF4}">
  <ds:schemaRefs>
    <ds:schemaRef ds:uri="http://schemas.microsoft.com/sharepoint/v3/contenttype/forms"/>
  </ds:schemaRefs>
</ds:datastoreItem>
</file>

<file path=customXml/itemProps2.xml><?xml version="1.0" encoding="utf-8"?>
<ds:datastoreItem xmlns:ds="http://schemas.openxmlformats.org/officeDocument/2006/customXml" ds:itemID="{DB4DC44B-71B7-4995-8E5F-F0CBB4CC20A7}">
  <ds:schemaRefs>
    <ds:schemaRef ds:uri="http://schemas.microsoft.com/office/2006/metadata/properties"/>
    <ds:schemaRef ds:uri="http://schemas.microsoft.com/office/infopath/2007/PartnerControls"/>
    <ds:schemaRef ds:uri="690b2128-8961-48af-a473-22c34a9accba"/>
    <ds:schemaRef ds:uri="c0239a80-7f07-4ed7-82c3-24ad7d76ada5"/>
  </ds:schemaRefs>
</ds:datastoreItem>
</file>

<file path=customXml/itemProps3.xml><?xml version="1.0" encoding="utf-8"?>
<ds:datastoreItem xmlns:ds="http://schemas.openxmlformats.org/officeDocument/2006/customXml" ds:itemID="{483B4F1B-9BCC-41AB-B9AC-EE257C95AE52}">
  <ds:schemaRefs>
    <ds:schemaRef ds:uri="http://schemas.openxmlformats.org/officeDocument/2006/bibliography"/>
  </ds:schemaRefs>
</ds:datastoreItem>
</file>

<file path=customXml/itemProps4.xml><?xml version="1.0" encoding="utf-8"?>
<ds:datastoreItem xmlns:ds="http://schemas.openxmlformats.org/officeDocument/2006/customXml" ds:itemID="{55ED297A-0BD9-42A3-9340-2B6A993D9992}"/>
</file>

<file path=docProps/app.xml><?xml version="1.0" encoding="utf-8"?>
<Properties xmlns="http://schemas.openxmlformats.org/officeDocument/2006/extended-properties" xmlns:vt="http://schemas.openxmlformats.org/officeDocument/2006/docPropsVTypes">
  <Template>Normal</Template>
  <TotalTime>92</TotalTime>
  <Pages>10</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Gentamicin Clinical Guidelines for Dosing and Monitoring of Once Daily Gentamicin in Paediatric Patients</dc:title>
  <dc:subject>23;#Clinical Governance;#2;#Medication Safety</dc:subject>
  <dc:creator>Kerryn Hunter</dc:creator>
  <cp:lastModifiedBy>Thomas, Raichel (Health)</cp:lastModifiedBy>
  <cp:revision>22</cp:revision>
  <cp:lastPrinted>2014-07-16T01:36:00Z</cp:lastPrinted>
  <dcterms:created xsi:type="dcterms:W3CDTF">2020-02-06T03:22:00Z</dcterms:created>
  <dcterms:modified xsi:type="dcterms:W3CDTF">2022-02-16T01:02:00Z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ies>
</file>